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C2A46" w14:textId="7659F87C" w:rsidR="00FB16D8" w:rsidRDefault="00FB16D8" w:rsidP="00FB16D8">
      <w:pPr>
        <w:pStyle w:val="Heading1"/>
      </w:pPr>
      <w:r>
        <w:rPr>
          <w:noProof/>
          <w:color w:val="2B579A"/>
          <w:shd w:val="clear" w:color="auto" w:fill="E6E6E6"/>
        </w:rPr>
        <w:drawing>
          <wp:anchor distT="0" distB="0" distL="114300" distR="114300" simplePos="0" relativeHeight="251658240" behindDoc="1" locked="0" layoutInCell="1" allowOverlap="1" wp14:anchorId="6CC87073" wp14:editId="508D9199">
            <wp:simplePos x="0" y="0"/>
            <wp:positionH relativeFrom="page">
              <wp:align>right</wp:align>
            </wp:positionH>
            <wp:positionV relativeFrom="page">
              <wp:align>top</wp:align>
            </wp:positionV>
            <wp:extent cx="7770344" cy="1655379"/>
            <wp:effectExtent l="0" t="0" r="2540" b="2540"/>
            <wp:wrapNone/>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b="82770"/>
                    <a:stretch/>
                  </pic:blipFill>
                  <pic:spPr bwMode="auto">
                    <a:xfrm>
                      <a:off x="0" y="0"/>
                      <a:ext cx="7772400" cy="16558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3F5E90E1" w14:textId="749E9485" w:rsidR="00FB16D8" w:rsidRDefault="00B17CAE" w:rsidP="00FB16D8">
      <w:pPr>
        <w:tabs>
          <w:tab w:val="left" w:pos="7622"/>
        </w:tabs>
      </w:pPr>
      <w:r w:rsidRPr="00726C98">
        <w:rPr>
          <w:noProof/>
          <w:lang w:val="es-ES"/>
        </w:rPr>
        <mc:AlternateContent>
          <mc:Choice Requires="wps">
            <w:drawing>
              <wp:anchor distT="45720" distB="45720" distL="114300" distR="114300" simplePos="0" relativeHeight="251660290" behindDoc="0" locked="0" layoutInCell="1" allowOverlap="1" wp14:anchorId="2A5EBCF9" wp14:editId="168ABA00">
                <wp:simplePos x="0" y="0"/>
                <wp:positionH relativeFrom="column">
                  <wp:posOffset>-332740</wp:posOffset>
                </wp:positionH>
                <wp:positionV relativeFrom="page">
                  <wp:posOffset>1003300</wp:posOffset>
                </wp:positionV>
                <wp:extent cx="4657725" cy="5429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542925"/>
                        </a:xfrm>
                        <a:prstGeom prst="rect">
                          <a:avLst/>
                        </a:prstGeom>
                        <a:solidFill>
                          <a:srgbClr val="0070C0"/>
                        </a:solidFill>
                        <a:ln w="9525">
                          <a:noFill/>
                          <a:miter lim="800000"/>
                          <a:headEnd/>
                          <a:tailEnd/>
                        </a:ln>
                      </wps:spPr>
                      <wps:txbx>
                        <w:txbxContent>
                          <w:p w14:paraId="65657FA1" w14:textId="77777777" w:rsidR="00FA42D6" w:rsidRPr="00726C98" w:rsidRDefault="00FA42D6" w:rsidP="00FA42D6">
                            <w:pPr>
                              <w:rPr>
                                <w:rFonts w:ascii="Arial Black" w:hAnsi="Arial Black"/>
                                <w:color w:val="FFFFFF" w:themeColor="background1"/>
                                <w:sz w:val="56"/>
                                <w:szCs w:val="56"/>
                              </w:rPr>
                            </w:pPr>
                            <w:proofErr w:type="spellStart"/>
                            <w:r w:rsidRPr="00726C98">
                              <w:rPr>
                                <w:rFonts w:ascii="Arial Black" w:hAnsi="Arial Black"/>
                                <w:color w:val="FFFFFF" w:themeColor="background1"/>
                                <w:sz w:val="56"/>
                                <w:szCs w:val="56"/>
                              </w:rPr>
                              <w:t>Comunidado</w:t>
                            </w:r>
                            <w:proofErr w:type="spellEnd"/>
                            <w:r w:rsidRPr="00726C98">
                              <w:rPr>
                                <w:rFonts w:ascii="Arial Black" w:hAnsi="Arial Black"/>
                                <w:color w:val="FFFFFF" w:themeColor="background1"/>
                                <w:sz w:val="56"/>
                                <w:szCs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EBCF9" id="_x0000_t202" coordsize="21600,21600" o:spt="202" path="m,l,21600r21600,l21600,xe">
                <v:stroke joinstyle="miter"/>
                <v:path gradientshapeok="t" o:connecttype="rect"/>
              </v:shapetype>
              <v:shape id="Text Box 2" o:spid="_x0000_s1026" type="#_x0000_t202" style="position:absolute;margin-left:-26.2pt;margin-top:79pt;width:366.75pt;height:42.7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" fillcolor="#0070c0" stroked="f">
                <v:textbox>
                  <w:txbxContent>
                    <w:p w14:paraId="65657FA1" w14:textId="77777777" w:rsidR="00FA42D6" w:rsidRPr="00726C98" w:rsidRDefault="00FA42D6" w:rsidP="00FA42D6">
                      <w:pPr>
                        <w:rPr>
                          <w:rFonts w:ascii="Arial Black" w:hAnsi="Arial Black"/>
                          <w:color w:val="FFFFFF" w:themeColor="background1"/>
                          <w:sz w:val="56"/>
                          <w:szCs w:val="56"/>
                        </w:rPr>
                      </w:pPr>
                      <w:proofErr w:type="spellStart"/>
                      <w:r w:rsidRPr="00726C98">
                        <w:rPr>
                          <w:rFonts w:ascii="Arial Black" w:hAnsi="Arial Black"/>
                          <w:color w:val="FFFFFF" w:themeColor="background1"/>
                          <w:sz w:val="56"/>
                          <w:szCs w:val="56"/>
                        </w:rPr>
                        <w:t>Comunidado</w:t>
                      </w:r>
                      <w:proofErr w:type="spellEnd"/>
                      <w:r w:rsidRPr="00726C98">
                        <w:rPr>
                          <w:rFonts w:ascii="Arial Black" w:hAnsi="Arial Black"/>
                          <w:color w:val="FFFFFF" w:themeColor="background1"/>
                          <w:sz w:val="56"/>
                          <w:szCs w:val="56"/>
                        </w:rPr>
                        <w:t xml:space="preserve"> de prensa</w:t>
                      </w:r>
                    </w:p>
                  </w:txbxContent>
                </v:textbox>
                <w10:wrap anchory="page"/>
              </v:shape>
            </w:pict>
          </mc:Fallback>
        </mc:AlternateContent>
      </w:r>
    </w:p>
    <w:p w14:paraId="29E8CC39" w14:textId="77777777" w:rsidR="00FB16D8" w:rsidRDefault="00FB16D8" w:rsidP="00FB16D8"/>
    <w:p w14:paraId="62EF814B" w14:textId="77777777" w:rsidR="00FB16D8" w:rsidRDefault="00FB16D8" w:rsidP="00FB16D8"/>
    <w:p w14:paraId="19400B3E" w14:textId="77777777" w:rsidR="00FB16D8" w:rsidRDefault="00FB16D8" w:rsidP="00FB16D8"/>
    <w:p w14:paraId="48FBF9B4" w14:textId="77777777" w:rsidR="00FB16D8" w:rsidRDefault="00FB16D8" w:rsidP="00FB16D8">
      <w:r>
        <w:rPr>
          <w:noProof/>
          <w:color w:val="2B579A"/>
          <w:shd w:val="clear" w:color="auto" w:fill="E6E6E6"/>
        </w:rPr>
        <mc:AlternateContent>
          <mc:Choice Requires="wps">
            <w:drawing>
              <wp:anchor distT="0" distB="0" distL="114300" distR="114300" simplePos="0" relativeHeight="251658241" behindDoc="0" locked="0" layoutInCell="1" allowOverlap="1" wp14:anchorId="66674946" wp14:editId="2372E7E2">
                <wp:simplePos x="0" y="0"/>
                <wp:positionH relativeFrom="column">
                  <wp:posOffset>-333375</wp:posOffset>
                </wp:positionH>
                <wp:positionV relativeFrom="paragraph">
                  <wp:posOffset>240665</wp:posOffset>
                </wp:positionV>
                <wp:extent cx="2049145" cy="625475"/>
                <wp:effectExtent l="0" t="0" r="8255" b="3175"/>
                <wp:wrapNone/>
                <wp:docPr id="4" name="Text Box 4">
                  <a:extLst xmlns:a="http://schemas.openxmlformats.org/drawingml/2006/main">
                    <a:ext uri="{FF2B5EF4-FFF2-40B4-BE49-F238E27FC236}">
                      <a16:creationId xmlns:a16="http://schemas.microsoft.com/office/drawing/2014/main" id="{2267A1D6-7F76-4A6C-A5E6-7000B9EAC79A}"/>
                    </a:ext>
                  </a:extLst>
                </wp:docPr>
                <wp:cNvGraphicFramePr/>
                <a:graphic xmlns:a="http://schemas.openxmlformats.org/drawingml/2006/main">
                  <a:graphicData uri="http://schemas.microsoft.com/office/word/2010/wordprocessingShape">
                    <wps:wsp>
                      <wps:cNvSpPr txBox="1"/>
                      <wps:spPr>
                        <a:xfrm>
                          <a:off x="0" y="0"/>
                          <a:ext cx="2049145" cy="625475"/>
                        </a:xfrm>
                        <a:prstGeom prst="rect">
                          <a:avLst/>
                        </a:prstGeom>
                        <a:solidFill>
                          <a:schemeClr val="lt1"/>
                        </a:solidFill>
                        <a:ln w="6350">
                          <a:noFill/>
                        </a:ln>
                      </wps:spPr>
                      <wps:txbx>
                        <w:txbxContent>
                          <w:p w14:paraId="7295AE59" w14:textId="77777777" w:rsidR="00E44DC0" w:rsidRPr="00FA42D6" w:rsidRDefault="00E44DC0" w:rsidP="00E44DC0">
                            <w:pPr>
                              <w:pStyle w:val="NormalWeb"/>
                              <w:spacing w:before="0" w:beforeAutospacing="0" w:after="0" w:afterAutospacing="0"/>
                              <w:rPr>
                                <w:lang w:val="en-US"/>
                              </w:rPr>
                            </w:pPr>
                            <w:r w:rsidRPr="00FA42D6">
                              <w:rPr>
                                <w:rFonts w:ascii="Arial" w:hAnsi="Arial"/>
                                <w:color w:val="000000" w:themeColor="text1"/>
                                <w:sz w:val="22"/>
                                <w:lang w:val="en-US"/>
                              </w:rPr>
                              <w:t>1400 Independence Ave. SW</w:t>
                            </w:r>
                          </w:p>
                          <w:p w14:paraId="734E9107" w14:textId="77777777" w:rsidR="00E44DC0" w:rsidRPr="00FA42D6" w:rsidRDefault="00E44DC0" w:rsidP="00E44DC0">
                            <w:pPr>
                              <w:pStyle w:val="NormalWeb"/>
                              <w:spacing w:before="0" w:beforeAutospacing="0" w:after="0" w:afterAutospacing="0"/>
                              <w:rPr>
                                <w:lang w:val="en-US"/>
                              </w:rPr>
                            </w:pPr>
                            <w:r w:rsidRPr="00FA42D6">
                              <w:rPr>
                                <w:rFonts w:ascii="Arial" w:hAnsi="Arial"/>
                                <w:color w:val="000000" w:themeColor="text1"/>
                                <w:sz w:val="22"/>
                                <w:lang w:val="en-US"/>
                              </w:rPr>
                              <w:t>Washington, DC 20250</w:t>
                            </w:r>
                          </w:p>
                          <w:p w14:paraId="722786D9" w14:textId="3F75FD2F" w:rsidR="00FB16D8" w:rsidRPr="00FA42D6" w:rsidRDefault="00FB16D8" w:rsidP="00FB16D8">
                            <w:pPr>
                              <w:rPr>
                                <w:rFonts w:ascii="Arial" w:eastAsiaTheme="minorHAnsi" w:hAnsi="Arial" w:cs="Arial"/>
                                <w:sz w:val="22"/>
                                <w:szCs w:val="22"/>
                                <w:lang w:val="en-US"/>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74946" id="Text Box 4" o:spid="_x0000_s1027" type="#_x0000_t202" style="position:absolute;margin-left:-26.25pt;margin-top:18.95pt;width:161.35pt;height:4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" fillcolor="white [3201]" stroked="f" strokeweight=".5pt">
                <v:textbox>
                  <w:txbxContent>
                    <w:p w14:paraId="7295AE59" w14:textId="77777777" w:rsidR="00E44DC0" w:rsidRPr="00FA42D6" w:rsidRDefault="00E44DC0" w:rsidP="00E44DC0">
                      <w:pPr>
                        <w:pStyle w:val="NormalWeb"/>
                        <w:spacing w:before="0" w:beforeAutospacing="0" w:after="0" w:afterAutospacing="0"/>
                        <w:rPr>
                          <w:lang w:val="en-US"/>
                        </w:rPr>
                      </w:pPr>
                      <w:r w:rsidRPr="00FA42D6">
                        <w:rPr>
                          <w:rFonts w:ascii="Arial" w:hAnsi="Arial"/>
                          <w:color w:val="000000" w:themeColor="text1"/>
                          <w:sz w:val="22"/>
                          <w:lang w:val="en-US"/>
                        </w:rPr>
                        <w:t>1400 Independence Ave. SW</w:t>
                      </w:r>
                    </w:p>
                    <w:p w14:paraId="734E9107" w14:textId="77777777" w:rsidR="00E44DC0" w:rsidRPr="00FA42D6" w:rsidRDefault="00E44DC0" w:rsidP="00E44DC0">
                      <w:pPr>
                        <w:pStyle w:val="NormalWeb"/>
                        <w:spacing w:before="0" w:beforeAutospacing="0" w:after="0" w:afterAutospacing="0"/>
                        <w:rPr>
                          <w:lang w:val="en-US"/>
                        </w:rPr>
                      </w:pPr>
                      <w:r w:rsidRPr="00FA42D6">
                        <w:rPr>
                          <w:rFonts w:ascii="Arial" w:hAnsi="Arial"/>
                          <w:color w:val="000000" w:themeColor="text1"/>
                          <w:sz w:val="22"/>
                          <w:lang w:val="en-US"/>
                        </w:rPr>
                        <w:t>Washington, DC 20250</w:t>
                      </w:r>
                    </w:p>
                    <w:p w14:paraId="722786D9" w14:textId="3F75FD2F" w:rsidR="00FB16D8" w:rsidRPr="00FA42D6" w:rsidRDefault="00FB16D8" w:rsidP="00FB16D8">
                      <w:pPr>
                        <w:rPr>
                          <w:rFonts w:ascii="Arial" w:eastAsiaTheme="minorHAnsi" w:hAnsi="Arial" w:cs="Arial"/>
                          <w:sz w:val="22"/>
                          <w:szCs w:val="22"/>
                          <w:lang w:val="en-US"/>
                        </w:rPr>
                      </w:pPr>
                    </w:p>
                  </w:txbxContent>
                </v:textbox>
              </v:shape>
            </w:pict>
          </mc:Fallback>
        </mc:AlternateContent>
      </w:r>
    </w:p>
    <w:p w14:paraId="05A7405E" w14:textId="77777777" w:rsidR="00FB16D8" w:rsidRDefault="00FB16D8" w:rsidP="00FB16D8"/>
    <w:p w14:paraId="7C5CFEAE" w14:textId="77777777" w:rsidR="00FB16D8" w:rsidRDefault="00FB16D8" w:rsidP="00FB16D8">
      <w:r>
        <w:rPr>
          <w:noProof/>
          <w:color w:val="2B579A"/>
          <w:shd w:val="clear" w:color="auto" w:fill="E6E6E6"/>
        </w:rPr>
        <mc:AlternateContent>
          <mc:Choice Requires="wps">
            <w:drawing>
              <wp:anchor distT="0" distB="0" distL="114300" distR="114300" simplePos="0" relativeHeight="251658242" behindDoc="0" locked="0" layoutInCell="1" allowOverlap="1" wp14:anchorId="0A36A0B2" wp14:editId="0AE0648F">
                <wp:simplePos x="0" y="0"/>
                <wp:positionH relativeFrom="column">
                  <wp:posOffset>5105400</wp:posOffset>
                </wp:positionH>
                <wp:positionV relativeFrom="paragraph">
                  <wp:posOffset>5715</wp:posOffset>
                </wp:positionV>
                <wp:extent cx="2049145" cy="501650"/>
                <wp:effectExtent l="0" t="0" r="8255" b="0"/>
                <wp:wrapNone/>
                <wp:docPr id="15" name="Text Box 15"/>
                <wp:cNvGraphicFramePr/>
                <a:graphic xmlns:a="http://schemas.openxmlformats.org/drawingml/2006/main">
                  <a:graphicData uri="http://schemas.microsoft.com/office/word/2010/wordprocessingShape">
                    <wps:wsp>
                      <wps:cNvSpPr txBox="1"/>
                      <wps:spPr>
                        <a:xfrm>
                          <a:off x="0" y="0"/>
                          <a:ext cx="2049145" cy="501650"/>
                        </a:xfrm>
                        <a:prstGeom prst="rect">
                          <a:avLst/>
                        </a:prstGeom>
                        <a:solidFill>
                          <a:schemeClr val="lt1"/>
                        </a:solidFill>
                        <a:ln w="6350">
                          <a:noFill/>
                        </a:ln>
                      </wps:spPr>
                      <wps:txbx>
                        <w:txbxContent>
                          <w:p w14:paraId="02DBEE29" w14:textId="18BC3C69" w:rsidR="00FB16D8" w:rsidRDefault="00FA42D6" w:rsidP="00FB16D8">
                            <w:pPr>
                              <w:pStyle w:val="NormalWeb"/>
                              <w:spacing w:before="0" w:beforeAutospacing="0" w:after="0" w:afterAutospacing="0"/>
                              <w:jc w:val="right"/>
                            </w:pPr>
                            <w:r>
                              <w:rPr>
                                <w:rFonts w:ascii="Arial" w:hAnsi="Arial"/>
                                <w:color w:val="000000" w:themeColor="text1"/>
                                <w:sz w:val="22"/>
                              </w:rPr>
                              <w:t>El contacto</w:t>
                            </w:r>
                            <w:r w:rsidR="00FB16D8">
                              <w:rPr>
                                <w:rFonts w:ascii="Arial" w:hAnsi="Arial"/>
                                <w:color w:val="000000" w:themeColor="text1"/>
                                <w:sz w:val="22"/>
                              </w:rPr>
                              <w:t xml:space="preserve">: </w:t>
                            </w:r>
                          </w:p>
                          <w:p w14:paraId="4A4C417B" w14:textId="77777777" w:rsidR="00FB16D8" w:rsidRDefault="003C6EDF" w:rsidP="00FB16D8">
                            <w:pPr>
                              <w:pStyle w:val="NormalWeb"/>
                              <w:spacing w:before="0" w:beforeAutospacing="0" w:after="0" w:afterAutospacing="0"/>
                              <w:jc w:val="right"/>
                            </w:pPr>
                            <w:hyperlink r:id="rId11" w:history="1">
                              <w:r w:rsidR="009678BD">
                                <w:rPr>
                                  <w:rStyle w:val="Hyperlink"/>
                                  <w:rFonts w:ascii="Arial" w:hAnsi="Arial"/>
                                  <w:sz w:val="22"/>
                                </w:rPr>
                                <w:t>FPAC.BC.Press@usda.gov</w:t>
                              </w:r>
                            </w:hyperlink>
                            <w:r w:rsidR="009678BD">
                              <w:rPr>
                                <w:rFonts w:ascii="Arial" w:hAnsi="Arial"/>
                                <w:color w:val="000000" w:themeColor="text1"/>
                                <w:sz w:val="22"/>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36A0B2" id="Text Box 15" o:spid="_x0000_s1028" type="#_x0000_t202" style="position:absolute;margin-left:402pt;margin-top:.45pt;width:161.35pt;height:39.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" fillcolor="white [3201]" stroked="f" strokeweight=".5pt">
                <v:textbox>
                  <w:txbxContent>
                    <w:p w14:paraId="02DBEE29" w14:textId="18BC3C69" w:rsidR="00FB16D8" w:rsidRDefault="00FA42D6" w:rsidP="00FB16D8">
                      <w:pPr>
                        <w:pStyle w:val="NormalWeb"/>
                        <w:spacing w:before="0" w:beforeAutospacing="0" w:after="0" w:afterAutospacing="0"/>
                        <w:jc w:val="right"/>
                      </w:pPr>
                      <w:r>
                        <w:rPr>
                          <w:rFonts w:ascii="Arial" w:hAnsi="Arial"/>
                          <w:color w:val="000000" w:themeColor="text1"/>
                          <w:sz w:val="22"/>
                        </w:rPr>
                        <w:t>El contacto</w:t>
                      </w:r>
                      <w:r w:rsidR="00FB16D8">
                        <w:rPr>
                          <w:rFonts w:ascii="Arial" w:hAnsi="Arial"/>
                          <w:color w:val="000000" w:themeColor="text1"/>
                          <w:sz w:val="22"/>
                        </w:rPr>
                        <w:t xml:space="preserve">: </w:t>
                      </w:r>
                    </w:p>
                    <w:p w14:paraId="4A4C417B" w14:textId="77777777" w:rsidR="00FB16D8" w:rsidRDefault="003C6EDF" w:rsidP="00FB16D8">
                      <w:pPr>
                        <w:pStyle w:val="NormalWeb"/>
                        <w:spacing w:before="0" w:beforeAutospacing="0" w:after="0" w:afterAutospacing="0"/>
                        <w:jc w:val="right"/>
                      </w:pPr>
                      <w:hyperlink r:id="rId12" w:history="1">
                        <w:r w:rsidR="009678BD">
                          <w:rPr>
                            <w:rStyle w:val="Hyperlink"/>
                            <w:rFonts w:ascii="Arial" w:hAnsi="Arial"/>
                            <w:sz w:val="22"/>
                          </w:rPr>
                          <w:t>FPAC.BC.Press@usda.gov</w:t>
                        </w:r>
                      </w:hyperlink>
                      <w:r w:rsidR="009678BD">
                        <w:rPr>
                          <w:rFonts w:ascii="Arial" w:hAnsi="Arial"/>
                          <w:color w:val="000000" w:themeColor="text1"/>
                          <w:sz w:val="22"/>
                        </w:rPr>
                        <w:t xml:space="preserve"> </w:t>
                      </w:r>
                    </w:p>
                  </w:txbxContent>
                </v:textbox>
              </v:shape>
            </w:pict>
          </mc:Fallback>
        </mc:AlternateContent>
      </w:r>
    </w:p>
    <w:p w14:paraId="16A363AE" w14:textId="77777777" w:rsidR="00FB16D8" w:rsidRDefault="00FB16D8" w:rsidP="00FB16D8"/>
    <w:p w14:paraId="00DDAE20" w14:textId="77777777" w:rsidR="00FB16D8" w:rsidRDefault="00FB16D8" w:rsidP="00D831DC">
      <w:pPr>
        <w:rPr>
          <w:rFonts w:ascii="Arial" w:eastAsia="Times New Roman" w:hAnsi="Arial" w:cs="Arial"/>
          <w:b/>
          <w:bCs/>
          <w:color w:val="000000"/>
          <w:sz w:val="28"/>
          <w:szCs w:val="28"/>
        </w:rPr>
      </w:pPr>
    </w:p>
    <w:p w14:paraId="44D2B001" w14:textId="0EE7035A" w:rsidR="00AD431C" w:rsidRPr="00FA42D6" w:rsidRDefault="00AD431C" w:rsidP="00AD431C">
      <w:pPr>
        <w:jc w:val="center"/>
        <w:textAlignment w:val="baseline"/>
        <w:rPr>
          <w:rFonts w:ascii="Arial" w:eastAsia="Arial" w:hAnsi="Arial" w:cs="Arial"/>
          <w:b/>
          <w:bCs/>
          <w:sz w:val="22"/>
          <w:szCs w:val="22"/>
        </w:rPr>
      </w:pPr>
      <w:bookmarkStart w:id="0" w:name="_Hlk149290940"/>
      <w:r w:rsidRPr="00FA42D6">
        <w:rPr>
          <w:rFonts w:ascii="Arial" w:hAnsi="Arial"/>
          <w:b/>
          <w:sz w:val="22"/>
          <w:szCs w:val="22"/>
        </w:rPr>
        <w:t>El Departamento de Agricultura de Estados Unidos (USDA</w:t>
      </w:r>
      <w:r w:rsidR="009E3E13">
        <w:rPr>
          <w:rFonts w:ascii="Arial" w:hAnsi="Arial"/>
          <w:b/>
          <w:sz w:val="22"/>
          <w:szCs w:val="22"/>
        </w:rPr>
        <w:t>, por sus siglas en inglés</w:t>
      </w:r>
      <w:r w:rsidRPr="00FA42D6">
        <w:rPr>
          <w:rFonts w:ascii="Arial" w:hAnsi="Arial"/>
          <w:b/>
          <w:sz w:val="22"/>
          <w:szCs w:val="22"/>
        </w:rPr>
        <w:t>) proporcionará más de 3.000 millones de dólares a los productores de productos básicos y cultivos especializados afectados por las catástrofes naturales de 2022  </w:t>
      </w:r>
    </w:p>
    <w:bookmarkEnd w:id="0"/>
    <w:p w14:paraId="397BD85C" w14:textId="77777777" w:rsidR="00AD431C" w:rsidRPr="00FA42D6" w:rsidRDefault="00AD431C" w:rsidP="00AD431C">
      <w:pPr>
        <w:jc w:val="center"/>
        <w:textAlignment w:val="baseline"/>
        <w:rPr>
          <w:rFonts w:ascii="Segoe UI" w:eastAsia="Calibri" w:hAnsi="Segoe UI" w:cs="Segoe UI"/>
          <w:sz w:val="22"/>
          <w:szCs w:val="22"/>
        </w:rPr>
      </w:pPr>
      <w:r w:rsidRPr="00FA42D6">
        <w:rPr>
          <w:rFonts w:ascii="Times New Roman" w:hAnsi="Times New Roman"/>
          <w:i/>
          <w:sz w:val="22"/>
          <w:szCs w:val="22"/>
        </w:rPr>
        <w:t> </w:t>
      </w:r>
      <w:r w:rsidRPr="00FA42D6">
        <w:rPr>
          <w:rFonts w:ascii="Times New Roman" w:hAnsi="Times New Roman"/>
          <w:sz w:val="22"/>
          <w:szCs w:val="22"/>
        </w:rPr>
        <w:t> </w:t>
      </w:r>
    </w:p>
    <w:p w14:paraId="5F282201" w14:textId="675A9BFC" w:rsidR="00AD431C" w:rsidRPr="00FA42D6" w:rsidRDefault="00AD431C" w:rsidP="00AD431C">
      <w:pPr>
        <w:textAlignment w:val="baseline"/>
        <w:rPr>
          <w:rFonts w:ascii="Segoe UI" w:eastAsia="Calibri" w:hAnsi="Segoe UI" w:cs="Segoe UI"/>
          <w:sz w:val="22"/>
          <w:szCs w:val="22"/>
          <w14:ligatures w14:val="standardContextual"/>
        </w:rPr>
      </w:pPr>
      <w:r w:rsidRPr="00FA42D6">
        <w:rPr>
          <w:rFonts w:ascii="Times New Roman" w:hAnsi="Times New Roman"/>
          <w:b/>
          <w:sz w:val="22"/>
          <w:szCs w:val="22"/>
        </w:rPr>
        <w:t xml:space="preserve">WASHINGTON, 27 de octubre de 2023 - </w:t>
      </w:r>
      <w:r w:rsidRPr="00FA42D6">
        <w:rPr>
          <w:rFonts w:ascii="Times New Roman" w:hAnsi="Times New Roman"/>
          <w:sz w:val="22"/>
          <w:szCs w:val="22"/>
        </w:rPr>
        <w:t xml:space="preserve">El Departamento de Agricultura de Estados Unidos (USDA) proporcionará más de 3.000 millones de dólares a los productores de productos básicos y cultivos especializados afectados por desastres naturales en 2022. Los productores afectados elegibles pueden solicitar ayuda financiera a través del </w:t>
      </w:r>
      <w:hyperlink r:id="rId13" w:history="1">
        <w:r w:rsidRPr="00FA42D6">
          <w:rPr>
            <w:rStyle w:val="Hyperlink"/>
            <w:rFonts w:ascii="Times New Roman" w:hAnsi="Times New Roman"/>
            <w:sz w:val="22"/>
            <w:szCs w:val="22"/>
          </w:rPr>
          <w:t>Programa de Ayuda de Emergencia (ERP</w:t>
        </w:r>
        <w:r w:rsidR="009B065A">
          <w:rPr>
            <w:rStyle w:val="Hyperlink"/>
            <w:rFonts w:ascii="Times New Roman" w:hAnsi="Times New Roman"/>
            <w:sz w:val="22"/>
            <w:szCs w:val="22"/>
          </w:rPr>
          <w:t>, por sus siglas en inglés</w:t>
        </w:r>
        <w:r w:rsidRPr="00FA42D6">
          <w:rPr>
            <w:rStyle w:val="Hyperlink"/>
            <w:rFonts w:ascii="Times New Roman" w:hAnsi="Times New Roman"/>
            <w:sz w:val="22"/>
            <w:szCs w:val="22"/>
          </w:rPr>
          <w:t>) 2022</w:t>
        </w:r>
      </w:hyperlink>
      <w:r w:rsidRPr="00FA42D6">
        <w:rPr>
          <w:rFonts w:ascii="Times New Roman" w:hAnsi="Times New Roman"/>
          <w:sz w:val="22"/>
          <w:szCs w:val="22"/>
        </w:rPr>
        <w:t>. El programa ayudará a compensar las repercusiones financieras de las pérdidas de rendimiento y valor de los cultivos derivadas de catástrofes que cumplan los requisitos y que se produzcan en 2022.</w:t>
      </w:r>
    </w:p>
    <w:p w14:paraId="21AD5F60"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 </w:t>
      </w:r>
    </w:p>
    <w:p w14:paraId="1330A5A4" w14:textId="5A316184"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"2022 fue otro año de dificultades relacionadas con el clima; para algunos, el tercer año consecutivo o más. El impacto financiero para una granja familiar o hacienda en un año es significativo, pero el impacto acumulativo de varios años puede ser devastador", dijo el Administrador de la Agencia de Servicios Agrícolas (FSA</w:t>
      </w:r>
      <w:r w:rsidR="009E3E13">
        <w:rPr>
          <w:rFonts w:ascii="Times New Roman" w:hAnsi="Times New Roman"/>
          <w:sz w:val="22"/>
          <w:szCs w:val="22"/>
        </w:rPr>
        <w:t xml:space="preserve">, por sus siglas en </w:t>
      </w:r>
      <w:proofErr w:type="spellStart"/>
      <w:r w:rsidR="009E3E13">
        <w:rPr>
          <w:rFonts w:ascii="Times New Roman" w:hAnsi="Times New Roman"/>
          <w:sz w:val="22"/>
          <w:szCs w:val="22"/>
        </w:rPr>
        <w:t>ingl</w:t>
      </w:r>
      <w:r w:rsidR="009E3E13">
        <w:rPr>
          <w:rFonts w:ascii="Times New Roman" w:hAnsi="Times New Roman"/>
          <w:sz w:val="22"/>
          <w:szCs w:val="22"/>
          <w:lang w:val="es-ES"/>
        </w:rPr>
        <w:t>és</w:t>
      </w:r>
      <w:proofErr w:type="spellEnd"/>
      <w:r w:rsidRPr="00FA42D6">
        <w:rPr>
          <w:rFonts w:ascii="Times New Roman" w:hAnsi="Times New Roman"/>
          <w:sz w:val="22"/>
          <w:szCs w:val="22"/>
        </w:rPr>
        <w:t xml:space="preserve">) del USDA, Zach </w:t>
      </w:r>
      <w:proofErr w:type="spellStart"/>
      <w:r w:rsidRPr="00FA42D6">
        <w:rPr>
          <w:rFonts w:ascii="Times New Roman" w:hAnsi="Times New Roman"/>
          <w:sz w:val="22"/>
          <w:szCs w:val="22"/>
        </w:rPr>
        <w:t>Ducheneaux</w:t>
      </w:r>
      <w:proofErr w:type="spellEnd"/>
      <w:r w:rsidRPr="00FA42D6">
        <w:rPr>
          <w:rFonts w:ascii="Times New Roman" w:hAnsi="Times New Roman"/>
          <w:sz w:val="22"/>
          <w:szCs w:val="22"/>
        </w:rPr>
        <w:t>. "En nuestro continuo compromiso por mejorar la prestación de ayuda de emergencia, hemos perfeccionado nuestro proceso de entrega del Programa de Ayuda de Emergencia 2022. En lugar de dos fases de programa separadas, ahora ejecutaremos dos vías simultáneamente, lo que aumentará nuestra eficiencia en la tramitación de solicitudes y pagos, al tiempo que garantizará una ejecución equitativa del programa. También hemos escuchado las importantes aportaciones de los productores y las partes interesadas y hemos mejorado las disposiciones de la ERP 2022 para garantizar que se tengan en cuenta las repercusiones de las pérdidas superficiales en los ingresos." </w:t>
      </w:r>
    </w:p>
    <w:p w14:paraId="4C4F4E28"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 </w:t>
      </w:r>
    </w:p>
    <w:p w14:paraId="19763C9C"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b/>
          <w:sz w:val="22"/>
          <w:szCs w:val="22"/>
        </w:rPr>
        <w:t>Historial</w:t>
      </w:r>
      <w:r w:rsidRPr="00FA42D6">
        <w:rPr>
          <w:rFonts w:ascii="Times New Roman" w:hAnsi="Times New Roman"/>
          <w:sz w:val="22"/>
          <w:szCs w:val="22"/>
        </w:rPr>
        <w:t> </w:t>
      </w:r>
    </w:p>
    <w:p w14:paraId="67FFEB9C"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b/>
          <w:sz w:val="22"/>
          <w:szCs w:val="22"/>
        </w:rPr>
        <w:t> </w:t>
      </w:r>
      <w:r w:rsidRPr="00FA42D6">
        <w:rPr>
          <w:rFonts w:ascii="Times New Roman" w:hAnsi="Times New Roman"/>
          <w:sz w:val="22"/>
          <w:szCs w:val="22"/>
        </w:rPr>
        <w:t> </w:t>
      </w:r>
    </w:p>
    <w:p w14:paraId="5FFEAFB0" w14:textId="6926FBB3"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 xml:space="preserve">El 29 de diciembre de 2022, el presidente </w:t>
      </w:r>
      <w:proofErr w:type="spellStart"/>
      <w:r w:rsidRPr="00FA42D6">
        <w:rPr>
          <w:rFonts w:ascii="Times New Roman" w:hAnsi="Times New Roman"/>
          <w:sz w:val="22"/>
          <w:szCs w:val="22"/>
        </w:rPr>
        <w:t>Biden</w:t>
      </w:r>
      <w:proofErr w:type="spellEnd"/>
      <w:r w:rsidRPr="00FA42D6">
        <w:rPr>
          <w:rFonts w:ascii="Times New Roman" w:hAnsi="Times New Roman"/>
          <w:sz w:val="22"/>
          <w:szCs w:val="22"/>
        </w:rPr>
        <w:t xml:space="preserve"> firmó la Ley de Asignaciones Suplementarias para Ayuda en Casos de Desastre, </w:t>
      </w:r>
      <w:r w:rsidR="009B065A">
        <w:rPr>
          <w:rFonts w:ascii="Times New Roman" w:hAnsi="Times New Roman"/>
          <w:sz w:val="22"/>
          <w:szCs w:val="22"/>
        </w:rPr>
        <w:t>(</w:t>
      </w:r>
      <w:proofErr w:type="spellStart"/>
      <w:r w:rsidRPr="00FA42D6">
        <w:rPr>
          <w:rFonts w:ascii="Times New Roman" w:hAnsi="Times New Roman"/>
          <w:i/>
          <w:iCs/>
          <w:sz w:val="22"/>
          <w:szCs w:val="22"/>
        </w:rPr>
        <w:t>Disaster</w:t>
      </w:r>
      <w:proofErr w:type="spellEnd"/>
      <w:r w:rsidRPr="00FA42D6">
        <w:rPr>
          <w:rFonts w:ascii="Times New Roman" w:hAnsi="Times New Roman"/>
          <w:i/>
          <w:iCs/>
          <w:sz w:val="22"/>
          <w:szCs w:val="22"/>
        </w:rPr>
        <w:t xml:space="preserve"> </w:t>
      </w:r>
      <w:proofErr w:type="spellStart"/>
      <w:r w:rsidRPr="00FA42D6">
        <w:rPr>
          <w:rFonts w:ascii="Times New Roman" w:hAnsi="Times New Roman"/>
          <w:i/>
          <w:iCs/>
          <w:sz w:val="22"/>
          <w:szCs w:val="22"/>
        </w:rPr>
        <w:t>Relief</w:t>
      </w:r>
      <w:proofErr w:type="spellEnd"/>
      <w:r w:rsidRPr="00FA42D6">
        <w:rPr>
          <w:rFonts w:ascii="Times New Roman" w:hAnsi="Times New Roman"/>
          <w:i/>
          <w:iCs/>
          <w:sz w:val="22"/>
          <w:szCs w:val="22"/>
        </w:rPr>
        <w:t xml:space="preserve"> </w:t>
      </w:r>
      <w:proofErr w:type="spellStart"/>
      <w:r w:rsidRPr="00FA42D6">
        <w:rPr>
          <w:rFonts w:ascii="Times New Roman" w:hAnsi="Times New Roman"/>
          <w:i/>
          <w:iCs/>
          <w:sz w:val="22"/>
          <w:szCs w:val="22"/>
        </w:rPr>
        <w:t>Supplemental</w:t>
      </w:r>
      <w:proofErr w:type="spellEnd"/>
      <w:r w:rsidRPr="00FA42D6">
        <w:rPr>
          <w:rFonts w:ascii="Times New Roman" w:hAnsi="Times New Roman"/>
          <w:i/>
          <w:iCs/>
          <w:sz w:val="22"/>
          <w:szCs w:val="22"/>
        </w:rPr>
        <w:t xml:space="preserve"> </w:t>
      </w:r>
      <w:proofErr w:type="spellStart"/>
      <w:r w:rsidRPr="00FA42D6">
        <w:rPr>
          <w:rFonts w:ascii="Times New Roman" w:hAnsi="Times New Roman"/>
          <w:i/>
          <w:iCs/>
          <w:sz w:val="22"/>
          <w:szCs w:val="22"/>
        </w:rPr>
        <w:t>Appropriations</w:t>
      </w:r>
      <w:proofErr w:type="spellEnd"/>
      <w:r w:rsidRPr="00FA42D6">
        <w:rPr>
          <w:rFonts w:ascii="Times New Roman" w:hAnsi="Times New Roman"/>
          <w:i/>
          <w:iCs/>
          <w:sz w:val="22"/>
          <w:szCs w:val="22"/>
        </w:rPr>
        <w:t xml:space="preserve"> </w:t>
      </w:r>
      <w:proofErr w:type="spellStart"/>
      <w:r w:rsidRPr="00FA42D6">
        <w:rPr>
          <w:rFonts w:ascii="Times New Roman" w:hAnsi="Times New Roman"/>
          <w:i/>
          <w:iCs/>
          <w:sz w:val="22"/>
          <w:szCs w:val="22"/>
        </w:rPr>
        <w:t>Act</w:t>
      </w:r>
      <w:proofErr w:type="spellEnd"/>
      <w:r w:rsidR="009B065A">
        <w:rPr>
          <w:rFonts w:ascii="Times New Roman" w:hAnsi="Times New Roman"/>
          <w:i/>
          <w:iCs/>
          <w:sz w:val="22"/>
          <w:szCs w:val="22"/>
        </w:rPr>
        <w:t>,</w:t>
      </w:r>
      <w:r w:rsidRPr="00FA42D6">
        <w:rPr>
          <w:rFonts w:ascii="Times New Roman" w:hAnsi="Times New Roman"/>
          <w:i/>
          <w:iCs/>
          <w:sz w:val="22"/>
          <w:szCs w:val="22"/>
        </w:rPr>
        <w:t xml:space="preserve"> 2023</w:t>
      </w:r>
      <w:r w:rsidR="009B065A">
        <w:rPr>
          <w:rFonts w:ascii="Times New Roman" w:hAnsi="Times New Roman"/>
          <w:i/>
          <w:iCs/>
          <w:sz w:val="22"/>
          <w:szCs w:val="22"/>
        </w:rPr>
        <w:t>)</w:t>
      </w:r>
      <w:r w:rsidRPr="00FA42D6">
        <w:rPr>
          <w:rFonts w:ascii="Times New Roman" w:hAnsi="Times New Roman"/>
          <w:i/>
          <w:iCs/>
          <w:sz w:val="22"/>
          <w:szCs w:val="22"/>
        </w:rPr>
        <w:t xml:space="preserve"> (P.L.</w:t>
      </w:r>
      <w:r w:rsidRPr="00FA42D6">
        <w:rPr>
          <w:rFonts w:ascii="Times New Roman" w:hAnsi="Times New Roman"/>
          <w:i/>
          <w:sz w:val="22"/>
          <w:szCs w:val="22"/>
        </w:rPr>
        <w:t xml:space="preserve"> 117-328)</w:t>
      </w:r>
      <w:r w:rsidRPr="00FA42D6">
        <w:rPr>
          <w:rFonts w:ascii="Times New Roman" w:hAnsi="Times New Roman"/>
          <w:sz w:val="22"/>
          <w:szCs w:val="22"/>
        </w:rPr>
        <w:t xml:space="preserve"> que proporciona alrededor de 3.700 millones de dólares en ayuda financiera para los productores agrícolas afectados por desastres naturales elegibles ocurridos en el año calendario 2022.  </w:t>
      </w:r>
    </w:p>
    <w:p w14:paraId="48A6E1FB"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  </w:t>
      </w:r>
    </w:p>
    <w:p w14:paraId="45383B5E" w14:textId="004BD07D" w:rsidR="00AD431C" w:rsidRPr="00FA42D6" w:rsidRDefault="007C6337" w:rsidP="00AD431C">
      <w:pPr>
        <w:textAlignment w:val="baseline"/>
        <w:rPr>
          <w:rFonts w:ascii="Segoe UI" w:eastAsia="Calibri" w:hAnsi="Segoe UI" w:cs="Segoe UI"/>
          <w:sz w:val="22"/>
          <w:szCs w:val="22"/>
        </w:rPr>
      </w:pPr>
      <w:r>
        <w:rPr>
          <w:rFonts w:ascii="Times New Roman" w:hAnsi="Times New Roman"/>
          <w:sz w:val="22"/>
          <w:szCs w:val="22"/>
        </w:rPr>
        <w:t xml:space="preserve">El </w:t>
      </w:r>
      <w:r w:rsidR="00AD431C" w:rsidRPr="00FA42D6">
        <w:rPr>
          <w:rFonts w:ascii="Times New Roman" w:hAnsi="Times New Roman"/>
          <w:sz w:val="22"/>
          <w:szCs w:val="22"/>
        </w:rPr>
        <w:t>ERP 2022 cubre las pérdidas de cultivos, árboles, arbustos y vides debidas a catástrofes naturales del año natural 2022 que cumplan los requisitos, incluidos incendios forestales, huracanes, inundaciones, derechos, calor excesivo, tornados, tormentas de invierno, heladas (incluido un vórtice polar), exposición al humo, humedad excesiva, sequía que cumpla los requisitos y condiciones relacionadas.  </w:t>
      </w:r>
    </w:p>
    <w:p w14:paraId="194A4F2E"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  </w:t>
      </w:r>
    </w:p>
    <w:p w14:paraId="52CC5CDE" w14:textId="338CBFFF"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 xml:space="preserve">Los beneficios del programa ERP 2022 se entregarán a los productores elegibles a través de un proceso de dos vías. La FSA tiene la intención de poner ambas vías a disposición de los productores al mismo tiempo. </w:t>
      </w:r>
      <w:r w:rsidRPr="00FA42D6">
        <w:rPr>
          <w:rFonts w:ascii="Times New Roman" w:hAnsi="Times New Roman"/>
          <w:color w:val="231F20"/>
          <w:sz w:val="22"/>
          <w:szCs w:val="22"/>
        </w:rPr>
        <w:t>Este doble enfoque permite al USDA: </w:t>
      </w:r>
    </w:p>
    <w:p w14:paraId="0513A398" w14:textId="77777777" w:rsidR="00AD431C" w:rsidRPr="00FA42D6" w:rsidRDefault="00AD431C" w:rsidP="00AD431C">
      <w:pPr>
        <w:numPr>
          <w:ilvl w:val="0"/>
          <w:numId w:val="15"/>
        </w:numPr>
        <w:ind w:left="1080" w:firstLine="0"/>
        <w:textAlignment w:val="baseline"/>
        <w:rPr>
          <w:rFonts w:ascii="Times New Roman" w:eastAsia="Calibri" w:hAnsi="Times New Roman" w:cs="Times New Roman"/>
          <w:sz w:val="22"/>
          <w:szCs w:val="22"/>
        </w:rPr>
      </w:pPr>
      <w:r w:rsidRPr="00FA42D6">
        <w:rPr>
          <w:rFonts w:ascii="Times New Roman" w:hAnsi="Times New Roman"/>
          <w:sz w:val="22"/>
          <w:szCs w:val="22"/>
        </w:rPr>
        <w:t>Simplificar y agilizar el proceso de solicitud. </w:t>
      </w:r>
    </w:p>
    <w:p w14:paraId="5D77A3C2" w14:textId="77777777" w:rsidR="00AD431C" w:rsidRPr="00FA42D6" w:rsidRDefault="00AD431C" w:rsidP="00AD431C">
      <w:pPr>
        <w:numPr>
          <w:ilvl w:val="0"/>
          <w:numId w:val="15"/>
        </w:numPr>
        <w:ind w:left="1080" w:firstLine="0"/>
        <w:textAlignment w:val="baseline"/>
        <w:rPr>
          <w:rFonts w:ascii="Times New Roman" w:eastAsia="Calibri" w:hAnsi="Times New Roman" w:cs="Times New Roman"/>
          <w:sz w:val="22"/>
          <w:szCs w:val="22"/>
        </w:rPr>
      </w:pPr>
      <w:r w:rsidRPr="00FA42D6">
        <w:rPr>
          <w:rFonts w:ascii="Times New Roman" w:hAnsi="Times New Roman"/>
          <w:sz w:val="22"/>
          <w:szCs w:val="22"/>
        </w:rPr>
        <w:t>Reducir la carga de documentación burocrática de los productores. </w:t>
      </w:r>
    </w:p>
    <w:p w14:paraId="51D22364" w14:textId="77777777" w:rsidR="00AD431C" w:rsidRPr="00FA42D6" w:rsidRDefault="00AD431C" w:rsidP="00AD431C">
      <w:pPr>
        <w:numPr>
          <w:ilvl w:val="0"/>
          <w:numId w:val="15"/>
        </w:numPr>
        <w:ind w:left="1080" w:firstLine="0"/>
        <w:textAlignment w:val="baseline"/>
        <w:rPr>
          <w:rFonts w:ascii="Times New Roman" w:eastAsia="Calibri" w:hAnsi="Times New Roman" w:cs="Times New Roman"/>
          <w:sz w:val="22"/>
          <w:szCs w:val="22"/>
        </w:rPr>
      </w:pPr>
      <w:r w:rsidRPr="00FA42D6">
        <w:rPr>
          <w:rFonts w:ascii="Times New Roman" w:hAnsi="Times New Roman"/>
          <w:sz w:val="22"/>
          <w:szCs w:val="22"/>
        </w:rPr>
        <w:t>Incluir de forma proactiva disposiciones para los productores desatendidos</w:t>
      </w:r>
      <w:r w:rsidRPr="00FA42D6">
        <w:rPr>
          <w:rFonts w:ascii="Times New Roman" w:hAnsi="Times New Roman"/>
          <w:color w:val="231F20"/>
          <w:sz w:val="22"/>
          <w:szCs w:val="22"/>
        </w:rPr>
        <w:t xml:space="preserve"> que no han sido bien atendidos o hayan beneficiado por los anteriores esfuerzos de ayuda de emergencia. </w:t>
      </w:r>
    </w:p>
    <w:p w14:paraId="05A48BF9" w14:textId="77777777" w:rsidR="00AD431C" w:rsidRPr="00FA42D6" w:rsidRDefault="00AD431C" w:rsidP="00AD431C">
      <w:pPr>
        <w:numPr>
          <w:ilvl w:val="0"/>
          <w:numId w:val="16"/>
        </w:numPr>
        <w:ind w:left="1080" w:firstLine="0"/>
        <w:textAlignment w:val="baseline"/>
        <w:rPr>
          <w:rFonts w:ascii="Times New Roman" w:eastAsia="Calibri" w:hAnsi="Times New Roman" w:cs="Times New Roman"/>
          <w:sz w:val="22"/>
          <w:szCs w:val="22"/>
        </w:rPr>
      </w:pPr>
      <w:r w:rsidRPr="00FA42D6">
        <w:rPr>
          <w:rFonts w:ascii="Times New Roman" w:hAnsi="Times New Roman"/>
          <w:sz w:val="22"/>
          <w:szCs w:val="22"/>
        </w:rPr>
        <w:lastRenderedPageBreak/>
        <w:t>Fomentar la participación de los productores en los programas de gestión de riesgos existentes para mitigar los efectos de futuros fenómenos meteorológicos graves.  </w:t>
      </w:r>
      <w:r w:rsidRPr="00FA42D6">
        <w:rPr>
          <w:rFonts w:ascii="Times New Roman" w:hAnsi="Times New Roman"/>
          <w:sz w:val="22"/>
          <w:szCs w:val="22"/>
        </w:rPr>
        <w:br/>
        <w:t> </w:t>
      </w:r>
    </w:p>
    <w:p w14:paraId="149A7E5D" w14:textId="39AE5D13"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Es importante señalar que los productores afectados por la catástrofe pueden optar a las ayudas del ERP 2022 por una o por ambas vías. Para evitar la duplicación de beneficios, si un productor solicita ambas vías, el cálculo del pago de la Vía 2 tendrá en cuenta cualquier pago recibido a través de la Vía 1. </w:t>
      </w:r>
      <w:r w:rsidRPr="00FA42D6">
        <w:rPr>
          <w:rFonts w:ascii="Times New Roman" w:hAnsi="Times New Roman"/>
          <w:sz w:val="22"/>
          <w:szCs w:val="22"/>
        </w:rPr>
        <w:br/>
        <w:t>  </w:t>
      </w:r>
    </w:p>
    <w:p w14:paraId="05EE8464" w14:textId="17C50C4A"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b/>
          <w:sz w:val="22"/>
          <w:szCs w:val="22"/>
        </w:rPr>
        <w:t>Proceso de solicitud del ERP 2022 - Vía 1</w:t>
      </w:r>
      <w:r w:rsidRPr="00FA42D6">
        <w:rPr>
          <w:rFonts w:ascii="Times New Roman" w:hAnsi="Times New Roman"/>
          <w:sz w:val="22"/>
          <w:szCs w:val="22"/>
        </w:rPr>
        <w:t> </w:t>
      </w:r>
    </w:p>
    <w:p w14:paraId="2A599233"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b/>
          <w:sz w:val="22"/>
          <w:szCs w:val="22"/>
        </w:rPr>
        <w:t> </w:t>
      </w:r>
      <w:r w:rsidRPr="00FA42D6">
        <w:rPr>
          <w:rFonts w:ascii="Times New Roman" w:hAnsi="Times New Roman"/>
          <w:sz w:val="22"/>
          <w:szCs w:val="22"/>
        </w:rPr>
        <w:t> </w:t>
      </w:r>
    </w:p>
    <w:p w14:paraId="494A65E6" w14:textId="3BC79C11"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 xml:space="preserve">El ERP 2022 </w:t>
      </w:r>
      <w:proofErr w:type="spellStart"/>
      <w:r w:rsidRPr="00FA42D6">
        <w:rPr>
          <w:rFonts w:ascii="Times New Roman" w:hAnsi="Times New Roman"/>
          <w:sz w:val="22"/>
          <w:szCs w:val="22"/>
        </w:rPr>
        <w:t>Track</w:t>
      </w:r>
      <w:proofErr w:type="spellEnd"/>
      <w:r w:rsidRPr="00FA42D6">
        <w:rPr>
          <w:rFonts w:ascii="Times New Roman" w:hAnsi="Times New Roman"/>
          <w:sz w:val="22"/>
          <w:szCs w:val="22"/>
        </w:rPr>
        <w:t xml:space="preserve"> 1 aprovecha los datos existentes del seguro federal de cosechas o del Programa de Asistencia para Desastres de Cultivos No Asegurados (NAP</w:t>
      </w:r>
      <w:r w:rsidR="009B065A">
        <w:rPr>
          <w:rFonts w:ascii="Times New Roman" w:hAnsi="Times New Roman"/>
          <w:sz w:val="22"/>
          <w:szCs w:val="22"/>
        </w:rPr>
        <w:t>, por sus siglas en inglés</w:t>
      </w:r>
      <w:r w:rsidRPr="00FA42D6">
        <w:rPr>
          <w:rFonts w:ascii="Times New Roman" w:hAnsi="Times New Roman"/>
          <w:sz w:val="22"/>
          <w:szCs w:val="22"/>
        </w:rPr>
        <w:t>)</w:t>
      </w:r>
      <w:r w:rsidRPr="00FA42D6">
        <w:rPr>
          <w:rFonts w:ascii="Times New Roman" w:hAnsi="Times New Roman"/>
          <w:b/>
          <w:sz w:val="22"/>
          <w:szCs w:val="22"/>
        </w:rPr>
        <w:t xml:space="preserve"> </w:t>
      </w:r>
      <w:r w:rsidRPr="00FA42D6">
        <w:rPr>
          <w:rFonts w:ascii="Times New Roman" w:hAnsi="Times New Roman"/>
          <w:sz w:val="22"/>
          <w:szCs w:val="22"/>
        </w:rPr>
        <w:t>como base para calcular los pagos para los productores de cultivos elegibles que recibieron indemnizaciones a través de estos programas de gestión de riesgos. </w:t>
      </w:r>
    </w:p>
    <w:p w14:paraId="46340B4F" w14:textId="337D5F02" w:rsidR="00AD431C" w:rsidRPr="00FA42D6" w:rsidRDefault="00AD431C" w:rsidP="00AD431C">
      <w:pPr>
        <w:textAlignment w:val="baseline"/>
        <w:rPr>
          <w:rFonts w:ascii="Segoe UI" w:eastAsia="Calibri" w:hAnsi="Segoe UI" w:cs="Segoe UI"/>
          <w:sz w:val="22"/>
          <w:szCs w:val="22"/>
        </w:rPr>
      </w:pPr>
      <w:r w:rsidRPr="00FA42D6">
        <w:rPr>
          <w:rFonts w:ascii="Calibri" w:hAnsi="Calibri"/>
          <w:sz w:val="22"/>
          <w:szCs w:val="22"/>
        </w:rPr>
        <w:t> </w:t>
      </w:r>
      <w:r w:rsidRPr="00FA42D6">
        <w:rPr>
          <w:rFonts w:ascii="Calibri" w:hAnsi="Calibri"/>
          <w:sz w:val="22"/>
          <w:szCs w:val="22"/>
        </w:rPr>
        <w:br/>
      </w:r>
      <w:r w:rsidRPr="00FA42D6">
        <w:rPr>
          <w:rFonts w:ascii="Times New Roman" w:hAnsi="Times New Roman"/>
          <w:sz w:val="22"/>
          <w:szCs w:val="22"/>
        </w:rPr>
        <w:t xml:space="preserve">Aunque la FSA está enviando formularios de solicitud ERP 2022 </w:t>
      </w:r>
      <w:proofErr w:type="spellStart"/>
      <w:r w:rsidRPr="00FA42D6">
        <w:rPr>
          <w:rFonts w:ascii="Times New Roman" w:hAnsi="Times New Roman"/>
          <w:sz w:val="22"/>
          <w:szCs w:val="22"/>
        </w:rPr>
        <w:t>Track</w:t>
      </w:r>
      <w:proofErr w:type="spellEnd"/>
      <w:r w:rsidRPr="00FA42D6">
        <w:rPr>
          <w:rFonts w:ascii="Times New Roman" w:hAnsi="Times New Roman"/>
          <w:sz w:val="22"/>
          <w:szCs w:val="22"/>
        </w:rPr>
        <w:t xml:space="preserve"> 1 con información necesaria ya incluida o </w:t>
      </w:r>
      <w:proofErr w:type="spellStart"/>
      <w:r w:rsidRPr="00FA42D6">
        <w:rPr>
          <w:rFonts w:ascii="Times New Roman" w:hAnsi="Times New Roman"/>
          <w:sz w:val="22"/>
          <w:szCs w:val="22"/>
        </w:rPr>
        <w:t>pre-llenados</w:t>
      </w:r>
      <w:proofErr w:type="spellEnd"/>
      <w:r w:rsidRPr="00FA42D6">
        <w:rPr>
          <w:rFonts w:ascii="Times New Roman" w:hAnsi="Times New Roman"/>
          <w:sz w:val="22"/>
          <w:szCs w:val="22"/>
        </w:rPr>
        <w:t xml:space="preserve"> a los productores que ya tienen datos de seguros de cosechas y NAP en sus archivos del USDA, los productores indemnizados por pérdidas derivadas de catástrofes naturales de 2022 no tienen que esperar a recibir la solicitud antes de solicitar la ayuda del ERP 2022. A partir del 31 de octubre de 2023, los productores pueden solicitar los beneficios del ERP 2022, hayan recibido o no la solicitud con información necesaria ya incluida o </w:t>
      </w:r>
      <w:proofErr w:type="spellStart"/>
      <w:r w:rsidRPr="00FA42D6">
        <w:rPr>
          <w:rFonts w:ascii="Times New Roman" w:hAnsi="Times New Roman"/>
          <w:sz w:val="22"/>
          <w:szCs w:val="22"/>
        </w:rPr>
        <w:t>pre-llenados</w:t>
      </w:r>
      <w:proofErr w:type="spellEnd"/>
      <w:r w:rsidRPr="00FA42D6">
        <w:rPr>
          <w:rFonts w:ascii="Times New Roman" w:hAnsi="Times New Roman"/>
          <w:sz w:val="22"/>
          <w:szCs w:val="22"/>
        </w:rPr>
        <w:t xml:space="preserve">. La recepción de una solicitud con información necesaria ya incluida o </w:t>
      </w:r>
      <w:proofErr w:type="spellStart"/>
      <w:r w:rsidRPr="00FA42D6">
        <w:rPr>
          <w:rFonts w:ascii="Times New Roman" w:hAnsi="Times New Roman"/>
          <w:sz w:val="22"/>
          <w:szCs w:val="22"/>
        </w:rPr>
        <w:t>pre-llenada</w:t>
      </w:r>
      <w:proofErr w:type="spellEnd"/>
      <w:r w:rsidRPr="00FA42D6">
        <w:rPr>
          <w:rFonts w:ascii="Times New Roman" w:hAnsi="Times New Roman"/>
          <w:sz w:val="22"/>
          <w:szCs w:val="22"/>
        </w:rPr>
        <w:t xml:space="preserve"> no confirma que un productor pueda recibir un pago ERP 2022 Vía 1.  </w:t>
      </w:r>
      <w:r w:rsidRPr="00FA42D6">
        <w:rPr>
          <w:rFonts w:ascii="Times New Roman" w:hAnsi="Times New Roman"/>
          <w:sz w:val="22"/>
          <w:szCs w:val="22"/>
        </w:rPr>
        <w:br/>
        <w:t> </w:t>
      </w:r>
    </w:p>
    <w:p w14:paraId="55A2BEF9" w14:textId="0D942658"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 xml:space="preserve">El USDA estima que los beneficios del ERP </w:t>
      </w:r>
      <w:proofErr w:type="spellStart"/>
      <w:r w:rsidRPr="00FA42D6">
        <w:rPr>
          <w:rFonts w:ascii="Times New Roman" w:hAnsi="Times New Roman"/>
          <w:sz w:val="22"/>
          <w:szCs w:val="22"/>
        </w:rPr>
        <w:t>Track</w:t>
      </w:r>
      <w:proofErr w:type="spellEnd"/>
      <w:r w:rsidRPr="00FA42D6">
        <w:rPr>
          <w:rFonts w:ascii="Times New Roman" w:hAnsi="Times New Roman"/>
          <w:sz w:val="22"/>
          <w:szCs w:val="22"/>
        </w:rPr>
        <w:t xml:space="preserve"> 1 llegarán a más de 206.000 productores que recibieron indemnizaciones por pérdidas cubiertas por el seguro federal de cosechas y a más de 4.500 productores que obtuvieron cobertura del NAP para el año agrícola de 2022.    </w:t>
      </w:r>
    </w:p>
    <w:p w14:paraId="5F853829"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  </w:t>
      </w:r>
    </w:p>
    <w:p w14:paraId="14C877B4" w14:textId="245067A5"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b/>
          <w:sz w:val="22"/>
          <w:szCs w:val="22"/>
        </w:rPr>
        <w:t>Proceso de solicitud del</w:t>
      </w:r>
      <w:r w:rsidR="009B065A">
        <w:rPr>
          <w:rFonts w:ascii="Times New Roman" w:hAnsi="Times New Roman"/>
          <w:b/>
          <w:sz w:val="22"/>
          <w:szCs w:val="22"/>
        </w:rPr>
        <w:t xml:space="preserve"> </w:t>
      </w:r>
      <w:r w:rsidRPr="00FA42D6">
        <w:rPr>
          <w:rFonts w:ascii="Times New Roman" w:hAnsi="Times New Roman"/>
          <w:b/>
          <w:sz w:val="22"/>
          <w:szCs w:val="22"/>
        </w:rPr>
        <w:t>ERP 2022 - Vía 2</w:t>
      </w:r>
      <w:r w:rsidRPr="00FA42D6">
        <w:rPr>
          <w:rFonts w:ascii="Times New Roman" w:hAnsi="Times New Roman"/>
          <w:sz w:val="22"/>
          <w:szCs w:val="22"/>
        </w:rPr>
        <w:t> </w:t>
      </w:r>
    </w:p>
    <w:p w14:paraId="69A50310"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color w:val="231F20"/>
          <w:sz w:val="22"/>
          <w:szCs w:val="22"/>
        </w:rPr>
        <w:t> </w:t>
      </w:r>
    </w:p>
    <w:p w14:paraId="7A73725F" w14:textId="364C42CB" w:rsidR="00AD431C" w:rsidRPr="00FA42D6" w:rsidRDefault="00AD431C" w:rsidP="00AD431C">
      <w:pPr>
        <w:textAlignment w:val="baseline"/>
        <w:rPr>
          <w:rFonts w:ascii="Segoe UI" w:eastAsia="Calibri" w:hAnsi="Segoe UI" w:cs="Segoe UI"/>
          <w:sz w:val="22"/>
          <w:szCs w:val="22"/>
        </w:rPr>
      </w:pPr>
      <w:proofErr w:type="spellStart"/>
      <w:r w:rsidRPr="00FA42D6">
        <w:rPr>
          <w:rFonts w:ascii="Times New Roman" w:hAnsi="Times New Roman"/>
          <w:color w:val="231F20"/>
          <w:sz w:val="22"/>
          <w:szCs w:val="22"/>
        </w:rPr>
        <w:t>Track</w:t>
      </w:r>
      <w:proofErr w:type="spellEnd"/>
      <w:r w:rsidRPr="00FA42D6">
        <w:rPr>
          <w:rFonts w:ascii="Times New Roman" w:hAnsi="Times New Roman"/>
          <w:color w:val="231F20"/>
          <w:sz w:val="22"/>
          <w:szCs w:val="22"/>
        </w:rPr>
        <w:t xml:space="preserve"> 2 es un programa de certificación basado en los ingresos diseñado para ayudar a los productores elegibles que sufrieron una disminución elegible en los ingresos resultantes de eventos de desastre del año calendario 2022</w:t>
      </w:r>
      <w:r w:rsidRPr="00FA42D6">
        <w:rPr>
          <w:rFonts w:ascii="Times New Roman" w:hAnsi="Times New Roman"/>
          <w:sz w:val="22"/>
          <w:szCs w:val="22"/>
        </w:rPr>
        <w:t xml:space="preserve"> cuando se compara con los ingresos en un año de referencia utilizando </w:t>
      </w:r>
      <w:r w:rsidRPr="00FA42D6">
        <w:rPr>
          <w:rFonts w:ascii="Times New Roman" w:hAnsi="Times New Roman"/>
          <w:color w:val="231F20"/>
          <w:sz w:val="22"/>
          <w:szCs w:val="22"/>
        </w:rPr>
        <w:t xml:space="preserve">información de ingresos que </w:t>
      </w:r>
      <w:r w:rsidR="009B065A" w:rsidRPr="00FA42D6">
        <w:rPr>
          <w:rFonts w:ascii="Times New Roman" w:hAnsi="Times New Roman"/>
          <w:color w:val="231F20"/>
          <w:sz w:val="22"/>
          <w:szCs w:val="22"/>
        </w:rPr>
        <w:t>está ya</w:t>
      </w:r>
      <w:r w:rsidRPr="00FA42D6">
        <w:rPr>
          <w:rFonts w:ascii="Times New Roman" w:hAnsi="Times New Roman"/>
          <w:color w:val="231F20"/>
          <w:sz w:val="22"/>
          <w:szCs w:val="22"/>
        </w:rPr>
        <w:t xml:space="preserve"> disponible en la mayoría de los registros fiscales o declaraciones de impuestos.</w:t>
      </w:r>
      <w:r w:rsidRPr="00FA42D6">
        <w:rPr>
          <w:rFonts w:ascii="Times New Roman" w:hAnsi="Times New Roman"/>
          <w:color w:val="231F20"/>
          <w:sz w:val="22"/>
          <w:szCs w:val="22"/>
          <w:shd w:val="clear" w:color="auto" w:fill="FFFFFF"/>
        </w:rPr>
        <w:t> </w:t>
      </w:r>
      <w:r w:rsidRPr="00FA42D6">
        <w:rPr>
          <w:rFonts w:ascii="Times New Roman" w:hAnsi="Times New Roman"/>
          <w:sz w:val="22"/>
          <w:szCs w:val="22"/>
        </w:rPr>
        <w:t xml:space="preserve">En los casos en que los ingresos no reflejen razonablemente los ingresos de un año normal, la vía 2 ofrece un método alternativo para determinar los ingresos. Asimismo, la vía 2 ofrece a los productores de cultivos que se utilizan dentro de una operación y no generan ingresos por la venta del cultivo un método para determinar los ingresos a efectos de solicitar los beneficios de la ayuda del ERP 2022. </w:t>
      </w:r>
      <w:r w:rsidRPr="00FA42D6">
        <w:rPr>
          <w:rFonts w:ascii="Times New Roman" w:hAnsi="Times New Roman"/>
          <w:color w:val="231F20"/>
          <w:sz w:val="22"/>
          <w:szCs w:val="22"/>
        </w:rPr>
        <w:t>Los productores no están obligados a presentar los registros fiscales o declaraciones de impuestos a la FSA, a menos que lo solicite el Comité del Condado en caso de que sea necesario para un control al azar del cumplimiento de la FSA. </w:t>
      </w:r>
    </w:p>
    <w:p w14:paraId="39F7A67D"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color w:val="231F20"/>
          <w:sz w:val="22"/>
          <w:szCs w:val="22"/>
        </w:rPr>
        <w:t> </w:t>
      </w:r>
    </w:p>
    <w:p w14:paraId="6CBAEC8A" w14:textId="09ACCB25"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color w:val="231F20"/>
          <w:sz w:val="22"/>
          <w:szCs w:val="22"/>
        </w:rPr>
        <w:t>Aunque no son necesarios para solicitar la vía 2 del ERP 2022, los solicitantes pueden encontrar los siguientes documentos útiles para el proceso: </w:t>
      </w:r>
    </w:p>
    <w:p w14:paraId="5A114FE2"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color w:val="231F20"/>
          <w:sz w:val="22"/>
          <w:szCs w:val="22"/>
        </w:rPr>
        <w:t> </w:t>
      </w:r>
    </w:p>
    <w:p w14:paraId="653284B7" w14:textId="77777777" w:rsidR="00AD431C" w:rsidRPr="00FA42D6" w:rsidRDefault="00AD431C" w:rsidP="00AD431C">
      <w:pPr>
        <w:numPr>
          <w:ilvl w:val="0"/>
          <w:numId w:val="17"/>
        </w:numPr>
        <w:ind w:left="1080" w:firstLine="0"/>
        <w:textAlignment w:val="baseline"/>
        <w:rPr>
          <w:rFonts w:ascii="Times New Roman" w:eastAsia="Calibri" w:hAnsi="Times New Roman" w:cs="Times New Roman"/>
          <w:sz w:val="22"/>
          <w:szCs w:val="22"/>
        </w:rPr>
      </w:pPr>
      <w:r w:rsidRPr="00FA42D6">
        <w:rPr>
          <w:rFonts w:ascii="Times New Roman" w:hAnsi="Times New Roman"/>
          <w:color w:val="231F20"/>
          <w:sz w:val="22"/>
          <w:szCs w:val="22"/>
        </w:rPr>
        <w:t>Anexo F (Formulario 1040)  </w:t>
      </w:r>
    </w:p>
    <w:p w14:paraId="5E1A44BC" w14:textId="58C921EC" w:rsidR="00AD431C" w:rsidRPr="00FA42D6" w:rsidRDefault="00AD431C" w:rsidP="00AD431C">
      <w:pPr>
        <w:numPr>
          <w:ilvl w:val="0"/>
          <w:numId w:val="18"/>
        </w:numPr>
        <w:ind w:left="1080" w:firstLine="0"/>
        <w:textAlignment w:val="baseline"/>
        <w:rPr>
          <w:rFonts w:ascii="Times New Roman" w:eastAsia="Calibri" w:hAnsi="Times New Roman" w:cs="Times New Roman"/>
          <w:sz w:val="22"/>
          <w:szCs w:val="22"/>
        </w:rPr>
      </w:pPr>
      <w:r w:rsidRPr="00FA42D6">
        <w:rPr>
          <w:rFonts w:ascii="Times New Roman" w:hAnsi="Times New Roman"/>
          <w:i/>
          <w:color w:val="231F20"/>
          <w:sz w:val="22"/>
          <w:szCs w:val="22"/>
        </w:rPr>
        <w:t xml:space="preserve">Ganancias o Pérdidas de </w:t>
      </w:r>
      <w:r w:rsidRPr="009B065A">
        <w:rPr>
          <w:rFonts w:ascii="Times New Roman" w:hAnsi="Times New Roman"/>
          <w:i/>
          <w:iCs/>
          <w:color w:val="231F20"/>
          <w:sz w:val="22"/>
          <w:szCs w:val="22"/>
        </w:rPr>
        <w:t>los Cultivos</w:t>
      </w:r>
      <w:r w:rsidRPr="00FA42D6">
        <w:rPr>
          <w:rFonts w:ascii="Times New Roman" w:hAnsi="Times New Roman"/>
          <w:color w:val="231F20"/>
          <w:sz w:val="22"/>
          <w:szCs w:val="22"/>
        </w:rPr>
        <w:t xml:space="preserve"> o documentos fiscales similares para los ejercicios fiscales 2018, 2019, 2022 y 2023. </w:t>
      </w:r>
    </w:p>
    <w:p w14:paraId="30CBBB7C"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color w:val="231F20"/>
          <w:sz w:val="22"/>
          <w:szCs w:val="22"/>
        </w:rPr>
        <w:t>   </w:t>
      </w:r>
    </w:p>
    <w:p w14:paraId="12E46010" w14:textId="2A36C814"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color w:val="000000"/>
          <w:sz w:val="22"/>
          <w:szCs w:val="22"/>
        </w:rPr>
        <w:t>La vía 2 se centra en las lagunas o vacíos de la ayuda de emergencia para los productores elegibles cuyas pérdidas elegibles no fueron cubiertas por el seguro de cosechas o el NAP, incluidas las pérdidas de ingresos demasiado pequeñas (pérdidas superficiales) para ser cubiertas por el seguro de cosechas. </w:t>
      </w:r>
    </w:p>
    <w:p w14:paraId="5E45FB62"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color w:val="000000"/>
          <w:sz w:val="22"/>
          <w:szCs w:val="22"/>
        </w:rPr>
        <w:t> </w:t>
      </w:r>
    </w:p>
    <w:p w14:paraId="3DC9D9EF" w14:textId="7938AF84" w:rsidR="00AD431C" w:rsidRPr="00FA42D6" w:rsidRDefault="00AD431C" w:rsidP="6F969A27">
      <w:pPr>
        <w:textAlignment w:val="baseline"/>
        <w:rPr>
          <w:rFonts w:ascii="Times New Roman" w:eastAsia="Calibri" w:hAnsi="Times New Roman" w:cs="Times New Roman"/>
          <w:sz w:val="22"/>
          <w:szCs w:val="22"/>
        </w:rPr>
      </w:pPr>
      <w:r w:rsidRPr="00FA42D6">
        <w:rPr>
          <w:rFonts w:ascii="Times New Roman" w:hAnsi="Times New Roman"/>
          <w:color w:val="231F20"/>
          <w:sz w:val="22"/>
          <w:szCs w:val="22"/>
        </w:rPr>
        <w:t>Los productores interesados en enviar una sol</w:t>
      </w:r>
      <w:r w:rsidR="0099618B">
        <w:rPr>
          <w:rFonts w:ascii="Times New Roman" w:hAnsi="Times New Roman"/>
          <w:color w:val="231F20"/>
          <w:sz w:val="22"/>
          <w:szCs w:val="22"/>
        </w:rPr>
        <w:t>i</w:t>
      </w:r>
      <w:r w:rsidRPr="00FA42D6">
        <w:rPr>
          <w:rFonts w:ascii="Times New Roman" w:hAnsi="Times New Roman"/>
          <w:color w:val="231F20"/>
          <w:sz w:val="22"/>
          <w:szCs w:val="22"/>
        </w:rPr>
        <w:t xml:space="preserve">citud para el ERP 2022 </w:t>
      </w:r>
      <w:proofErr w:type="spellStart"/>
      <w:r w:rsidRPr="00FA42D6">
        <w:rPr>
          <w:rFonts w:ascii="Times New Roman" w:hAnsi="Times New Roman"/>
          <w:color w:val="231F20"/>
          <w:sz w:val="22"/>
          <w:szCs w:val="22"/>
        </w:rPr>
        <w:t>Track</w:t>
      </w:r>
      <w:proofErr w:type="spellEnd"/>
      <w:r w:rsidRPr="00FA42D6">
        <w:rPr>
          <w:rFonts w:ascii="Times New Roman" w:hAnsi="Times New Roman"/>
          <w:color w:val="231F20"/>
          <w:sz w:val="22"/>
          <w:szCs w:val="22"/>
        </w:rPr>
        <w:t xml:space="preserve"> 2, deben ponerse en contacto con su oficina local del condado de la FSA.  Se pueden encontrar recursos de referencia adicionales en el sitio de internet de </w:t>
      </w:r>
      <w:hyperlink r:id="rId14" w:history="1">
        <w:r w:rsidRPr="00FA42D6">
          <w:rPr>
            <w:rStyle w:val="Hyperlink"/>
            <w:rFonts w:ascii="Times New Roman" w:hAnsi="Times New Roman"/>
            <w:sz w:val="22"/>
            <w:szCs w:val="22"/>
          </w:rPr>
          <w:t>ayuda de emergencia</w:t>
        </w:r>
      </w:hyperlink>
      <w:r w:rsidR="0099618B">
        <w:rPr>
          <w:rStyle w:val="Hyperlink"/>
          <w:rFonts w:ascii="Times New Roman" w:hAnsi="Times New Roman"/>
          <w:sz w:val="22"/>
          <w:szCs w:val="22"/>
        </w:rPr>
        <w:t xml:space="preserve"> </w:t>
      </w:r>
      <w:r w:rsidRPr="00FA42D6">
        <w:rPr>
          <w:rFonts w:ascii="Times New Roman" w:hAnsi="Times New Roman"/>
          <w:color w:val="231F20"/>
          <w:sz w:val="22"/>
          <w:szCs w:val="22"/>
        </w:rPr>
        <w:t>de la FSA.</w:t>
      </w:r>
    </w:p>
    <w:p w14:paraId="03BA7EEB"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color w:val="231F20"/>
          <w:sz w:val="22"/>
          <w:szCs w:val="22"/>
        </w:rPr>
        <w:t>  </w:t>
      </w:r>
    </w:p>
    <w:p w14:paraId="24A3AFBA"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b/>
          <w:sz w:val="22"/>
          <w:szCs w:val="22"/>
        </w:rPr>
        <w:t>Formularios adicionales obligatorios</w:t>
      </w:r>
      <w:r w:rsidRPr="00FA42D6">
        <w:rPr>
          <w:rFonts w:ascii="Times New Roman" w:hAnsi="Times New Roman"/>
          <w:sz w:val="22"/>
          <w:szCs w:val="22"/>
        </w:rPr>
        <w:t> </w:t>
      </w:r>
    </w:p>
    <w:p w14:paraId="36992872"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 </w:t>
      </w:r>
    </w:p>
    <w:p w14:paraId="772658BB" w14:textId="7294DD2B" w:rsidR="009678BD" w:rsidRPr="00FA42D6" w:rsidRDefault="00AD431C" w:rsidP="00AD431C">
      <w:pPr>
        <w:textAlignment w:val="baseline"/>
        <w:rPr>
          <w:rFonts w:ascii="Times New Roman" w:eastAsia="Calibri" w:hAnsi="Times New Roman" w:cs="Times New Roman"/>
          <w:sz w:val="22"/>
          <w:szCs w:val="22"/>
        </w:rPr>
      </w:pPr>
      <w:r w:rsidRPr="00FA42D6">
        <w:rPr>
          <w:rFonts w:ascii="Times New Roman" w:hAnsi="Times New Roman"/>
          <w:sz w:val="22"/>
          <w:szCs w:val="22"/>
        </w:rPr>
        <w:lastRenderedPageBreak/>
        <w:t>Para ambas vías ERP 2022, todos los productores deben tener ciertos formularios requeridos en los archivos de la FSA dentro de los 60 días de la fecha límite ERP 2022. Los productores pueden solicitar la ERP 2022 a partir del 31 de octubre de 2023. El plazo de solicitud aún no se ha determinado y se anunciará más adelante. Si aún no se encuentran en los archivos, los productores pueden actualizar, c</w:t>
      </w:r>
      <w:r w:rsidR="0099618B">
        <w:rPr>
          <w:rFonts w:ascii="Times New Roman" w:hAnsi="Times New Roman"/>
          <w:sz w:val="22"/>
          <w:szCs w:val="22"/>
        </w:rPr>
        <w:t>o</w:t>
      </w:r>
      <w:r w:rsidRPr="00FA42D6">
        <w:rPr>
          <w:rFonts w:ascii="Times New Roman" w:hAnsi="Times New Roman"/>
          <w:sz w:val="22"/>
          <w:szCs w:val="22"/>
        </w:rPr>
        <w:t>mpletar y enviar los formularios requeridos a la FSA en cualquier momento.  </w:t>
      </w:r>
    </w:p>
    <w:p w14:paraId="2CEB84CC" w14:textId="5F345ED1"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 </w:t>
      </w:r>
    </w:p>
    <w:p w14:paraId="62526052"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Los Formularios necesarios son: </w:t>
      </w:r>
    </w:p>
    <w:p w14:paraId="0D461E4E" w14:textId="58154AFB" w:rsidR="00AD431C" w:rsidRPr="00FA42D6" w:rsidRDefault="00AD431C" w:rsidP="00AD431C">
      <w:pPr>
        <w:numPr>
          <w:ilvl w:val="0"/>
          <w:numId w:val="19"/>
        </w:numPr>
        <w:ind w:left="1080" w:firstLine="0"/>
        <w:textAlignment w:val="baseline"/>
        <w:rPr>
          <w:rFonts w:ascii="Times New Roman" w:eastAsia="Calibri" w:hAnsi="Times New Roman" w:cs="Times New Roman"/>
          <w:sz w:val="22"/>
          <w:szCs w:val="22"/>
        </w:rPr>
      </w:pPr>
      <w:r w:rsidRPr="00FA42D6">
        <w:rPr>
          <w:rFonts w:ascii="Times New Roman" w:hAnsi="Times New Roman"/>
          <w:sz w:val="22"/>
          <w:szCs w:val="22"/>
        </w:rPr>
        <w:t xml:space="preserve">Formulario AD-2047, </w:t>
      </w:r>
      <w:r w:rsidRPr="00FA42D6">
        <w:rPr>
          <w:rFonts w:ascii="Times New Roman" w:hAnsi="Times New Roman"/>
          <w:i/>
          <w:sz w:val="22"/>
          <w:szCs w:val="22"/>
        </w:rPr>
        <w:t>Hoja de Trabajo de Datos o Información del cliente.</w:t>
      </w:r>
      <w:r w:rsidRPr="00FA42D6">
        <w:rPr>
          <w:rFonts w:ascii="Times New Roman" w:hAnsi="Times New Roman"/>
          <w:sz w:val="22"/>
          <w:szCs w:val="22"/>
        </w:rPr>
        <w:t>   </w:t>
      </w:r>
    </w:p>
    <w:p w14:paraId="56055B1E" w14:textId="5476F62C" w:rsidR="00AD431C" w:rsidRPr="00FA42D6" w:rsidRDefault="00AD431C" w:rsidP="00AD431C">
      <w:pPr>
        <w:numPr>
          <w:ilvl w:val="0"/>
          <w:numId w:val="19"/>
        </w:numPr>
        <w:ind w:left="1080" w:firstLine="0"/>
        <w:textAlignment w:val="baseline"/>
        <w:rPr>
          <w:rFonts w:ascii="Times New Roman" w:eastAsia="Calibri" w:hAnsi="Times New Roman" w:cs="Times New Roman"/>
          <w:sz w:val="22"/>
          <w:szCs w:val="22"/>
        </w:rPr>
      </w:pPr>
      <w:r w:rsidRPr="00FA42D6">
        <w:rPr>
          <w:rFonts w:ascii="Times New Roman" w:hAnsi="Times New Roman"/>
          <w:sz w:val="22"/>
          <w:szCs w:val="22"/>
        </w:rPr>
        <w:t xml:space="preserve">Formulario CCC-902, </w:t>
      </w:r>
      <w:r w:rsidRPr="00FA42D6">
        <w:rPr>
          <w:rFonts w:ascii="Times New Roman" w:hAnsi="Times New Roman"/>
          <w:i/>
          <w:sz w:val="22"/>
          <w:szCs w:val="22"/>
        </w:rPr>
        <w:t xml:space="preserve">Plan de Operación Agrícola </w:t>
      </w:r>
      <w:r w:rsidRPr="00FA42D6">
        <w:rPr>
          <w:rFonts w:ascii="Times New Roman" w:hAnsi="Times New Roman"/>
          <w:sz w:val="22"/>
          <w:szCs w:val="22"/>
        </w:rPr>
        <w:t>para persona física o jurídica.    </w:t>
      </w:r>
    </w:p>
    <w:p w14:paraId="2685845D" w14:textId="60E96155" w:rsidR="00AD431C" w:rsidRPr="00FA42D6" w:rsidRDefault="00AD431C" w:rsidP="00AD431C">
      <w:pPr>
        <w:numPr>
          <w:ilvl w:val="0"/>
          <w:numId w:val="19"/>
        </w:numPr>
        <w:ind w:left="1080" w:firstLine="0"/>
        <w:textAlignment w:val="baseline"/>
        <w:rPr>
          <w:rFonts w:ascii="Times New Roman" w:eastAsia="Calibri" w:hAnsi="Times New Roman" w:cs="Times New Roman"/>
          <w:sz w:val="22"/>
          <w:szCs w:val="22"/>
        </w:rPr>
      </w:pPr>
      <w:r w:rsidRPr="00FA42D6">
        <w:rPr>
          <w:rFonts w:ascii="Times New Roman" w:hAnsi="Times New Roman"/>
          <w:sz w:val="22"/>
          <w:szCs w:val="22"/>
        </w:rPr>
        <w:t xml:space="preserve">Formulario CCC-901, </w:t>
      </w:r>
      <w:r w:rsidRPr="00FA42D6">
        <w:rPr>
          <w:rFonts w:ascii="Times New Roman" w:hAnsi="Times New Roman"/>
          <w:i/>
          <w:sz w:val="22"/>
          <w:szCs w:val="22"/>
        </w:rPr>
        <w:t>Información de Socios o Miembros para personas jurídicas</w:t>
      </w:r>
      <w:r w:rsidRPr="00FA42D6">
        <w:rPr>
          <w:rFonts w:ascii="Times New Roman" w:hAnsi="Times New Roman"/>
          <w:sz w:val="22"/>
          <w:szCs w:val="22"/>
        </w:rPr>
        <w:t xml:space="preserve"> (si procede).    </w:t>
      </w:r>
    </w:p>
    <w:p w14:paraId="6B339DED" w14:textId="5B9D65F3" w:rsidR="00AD431C" w:rsidRPr="00FA42D6" w:rsidRDefault="00AD431C" w:rsidP="00AD431C">
      <w:pPr>
        <w:numPr>
          <w:ilvl w:val="0"/>
          <w:numId w:val="19"/>
        </w:numPr>
        <w:ind w:left="1080" w:firstLine="0"/>
        <w:textAlignment w:val="baseline"/>
        <w:rPr>
          <w:rFonts w:ascii="Times New Roman" w:eastAsia="Calibri" w:hAnsi="Times New Roman" w:cs="Times New Roman"/>
          <w:sz w:val="22"/>
          <w:szCs w:val="22"/>
        </w:rPr>
      </w:pPr>
      <w:r w:rsidRPr="00FA42D6">
        <w:rPr>
          <w:rFonts w:ascii="Times New Roman" w:hAnsi="Times New Roman"/>
          <w:sz w:val="22"/>
          <w:szCs w:val="22"/>
        </w:rPr>
        <w:t xml:space="preserve">Formulario FSA-510, </w:t>
      </w:r>
      <w:r w:rsidRPr="00FA42D6">
        <w:rPr>
          <w:rFonts w:ascii="Times New Roman" w:hAnsi="Times New Roman"/>
          <w:i/>
          <w:sz w:val="22"/>
          <w:szCs w:val="22"/>
        </w:rPr>
        <w:t>Solicitud de Excepción a la Limitación de Pago de 125.000 dólares para Determinados Programas</w:t>
      </w:r>
      <w:r w:rsidRPr="00FA42D6">
        <w:rPr>
          <w:rFonts w:ascii="Times New Roman" w:hAnsi="Times New Roman"/>
          <w:sz w:val="22"/>
          <w:szCs w:val="22"/>
        </w:rPr>
        <w:t xml:space="preserve"> (si procede).    </w:t>
      </w:r>
    </w:p>
    <w:p w14:paraId="363E8B81" w14:textId="0AA77690" w:rsidR="00AD431C" w:rsidRPr="00FA42D6" w:rsidRDefault="00AD431C" w:rsidP="00AD431C">
      <w:pPr>
        <w:numPr>
          <w:ilvl w:val="0"/>
          <w:numId w:val="20"/>
        </w:numPr>
        <w:ind w:left="1080" w:firstLine="0"/>
        <w:textAlignment w:val="baseline"/>
        <w:rPr>
          <w:rFonts w:ascii="Times New Roman" w:eastAsia="Calibri" w:hAnsi="Times New Roman" w:cs="Times New Roman"/>
          <w:sz w:val="22"/>
          <w:szCs w:val="22"/>
        </w:rPr>
      </w:pPr>
      <w:r w:rsidRPr="00FA42D6">
        <w:rPr>
          <w:rFonts w:ascii="Times New Roman" w:hAnsi="Times New Roman"/>
          <w:sz w:val="22"/>
          <w:szCs w:val="22"/>
        </w:rPr>
        <w:t xml:space="preserve">Formulario CCC-860, </w:t>
      </w:r>
      <w:r w:rsidRPr="00FA42D6">
        <w:rPr>
          <w:rFonts w:ascii="Times New Roman" w:hAnsi="Times New Roman"/>
          <w:i/>
          <w:sz w:val="22"/>
          <w:szCs w:val="22"/>
        </w:rPr>
        <w:t>Certificación de Agricultor o Ganadero Socialmente Desfavorecido, de Recursos Limitados, Principiante y Veterano</w:t>
      </w:r>
      <w:r w:rsidRPr="00FA42D6">
        <w:rPr>
          <w:rFonts w:ascii="Times New Roman" w:hAnsi="Times New Roman"/>
          <w:sz w:val="22"/>
          <w:szCs w:val="22"/>
        </w:rPr>
        <w:t xml:space="preserve"> (personas que han servido en las fuerzas armadas</w:t>
      </w:r>
      <w:proofErr w:type="gramStart"/>
      <w:r w:rsidRPr="00FA42D6">
        <w:rPr>
          <w:rFonts w:ascii="Times New Roman" w:hAnsi="Times New Roman"/>
          <w:sz w:val="22"/>
          <w:szCs w:val="22"/>
        </w:rPr>
        <w:t>) ,</w:t>
      </w:r>
      <w:proofErr w:type="gramEnd"/>
      <w:r w:rsidRPr="00FA42D6">
        <w:rPr>
          <w:rFonts w:ascii="Times New Roman" w:hAnsi="Times New Roman"/>
          <w:sz w:val="22"/>
          <w:szCs w:val="22"/>
        </w:rPr>
        <w:t xml:space="preserve"> si procede, para el año del programa 2022.    </w:t>
      </w:r>
    </w:p>
    <w:p w14:paraId="187A97D3" w14:textId="0C7CE49D" w:rsidR="00AD431C" w:rsidRPr="00FA42D6" w:rsidRDefault="00AD431C" w:rsidP="00AD431C">
      <w:pPr>
        <w:numPr>
          <w:ilvl w:val="0"/>
          <w:numId w:val="20"/>
        </w:numPr>
        <w:ind w:left="1080" w:firstLine="0"/>
        <w:textAlignment w:val="baseline"/>
        <w:rPr>
          <w:rFonts w:ascii="Times New Roman" w:eastAsia="Calibri" w:hAnsi="Times New Roman" w:cs="Times New Roman"/>
          <w:sz w:val="22"/>
          <w:szCs w:val="22"/>
        </w:rPr>
      </w:pPr>
      <w:r w:rsidRPr="00FA42D6">
        <w:rPr>
          <w:rFonts w:ascii="Times New Roman" w:hAnsi="Times New Roman"/>
          <w:sz w:val="22"/>
          <w:szCs w:val="22"/>
        </w:rPr>
        <w:t xml:space="preserve">Una certificación de conservación de tierras altamente erosionables (a veces denominada HELC) y de conservación de humedales o zonas pantanosas (Formulario AD-1026 </w:t>
      </w:r>
      <w:r w:rsidRPr="00FA42D6">
        <w:rPr>
          <w:rFonts w:ascii="Times New Roman" w:hAnsi="Times New Roman"/>
          <w:i/>
          <w:sz w:val="22"/>
          <w:szCs w:val="22"/>
        </w:rPr>
        <w:t>Certificación de Conservación de Tierras Altamente Erosionables (HELC) y de Conservación de Humedales o Zonas Pantanosas (</w:t>
      </w:r>
      <w:r w:rsidR="009B065A">
        <w:rPr>
          <w:rFonts w:ascii="Times New Roman" w:hAnsi="Times New Roman"/>
          <w:i/>
          <w:sz w:val="22"/>
          <w:szCs w:val="22"/>
        </w:rPr>
        <w:t>WC</w:t>
      </w:r>
      <w:r w:rsidRPr="00FA42D6">
        <w:rPr>
          <w:rFonts w:ascii="Times New Roman" w:hAnsi="Times New Roman"/>
          <w:i/>
          <w:sz w:val="22"/>
          <w:szCs w:val="22"/>
        </w:rPr>
        <w:t>)</w:t>
      </w:r>
      <w:r w:rsidR="009B065A">
        <w:rPr>
          <w:rFonts w:ascii="Times New Roman" w:hAnsi="Times New Roman"/>
          <w:i/>
          <w:sz w:val="22"/>
          <w:szCs w:val="22"/>
        </w:rPr>
        <w:t>)</w:t>
      </w:r>
      <w:r w:rsidRPr="00FA42D6">
        <w:rPr>
          <w:rFonts w:ascii="Times New Roman" w:hAnsi="Times New Roman"/>
          <w:sz w:val="22"/>
          <w:szCs w:val="22"/>
        </w:rPr>
        <w:t xml:space="preserve"> para el productor ERP y los afiliados aplicables.   </w:t>
      </w:r>
    </w:p>
    <w:p w14:paraId="321F49D4"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  </w:t>
      </w:r>
    </w:p>
    <w:p w14:paraId="75600B20" w14:textId="731CEA7D"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Es probable que la mayoría de los productores, especialmente los que hayan participado anteriormente en programas de la FSA, tengan archivados estos formularios obligatorios. No obstante, quienes tengan dudas o deseen confirmar el estado de sus formularios pueden ponerse en contacto con su oficina local de la FSA en el condado.   </w:t>
      </w:r>
    </w:p>
    <w:p w14:paraId="0097C4EA"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  </w:t>
      </w:r>
    </w:p>
    <w:p w14:paraId="5969E2E7" w14:textId="5F7CA94B"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b/>
          <w:sz w:val="22"/>
          <w:szCs w:val="22"/>
        </w:rPr>
        <w:t>Requisitos para la Cobertura de Seguro Futura</w:t>
      </w:r>
      <w:r w:rsidRPr="00FA42D6">
        <w:rPr>
          <w:rFonts w:ascii="Times New Roman" w:hAnsi="Times New Roman"/>
          <w:sz w:val="22"/>
          <w:szCs w:val="22"/>
        </w:rPr>
        <w:t>  </w:t>
      </w:r>
    </w:p>
    <w:p w14:paraId="4E32A3F7"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  </w:t>
      </w:r>
    </w:p>
    <w:p w14:paraId="07C91D31" w14:textId="718CA1A9"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 xml:space="preserve">Todos los productores que reciban pagos ERP 2022 deberán contratar un seguro de cosecha, o una cobertura NAP cuando no se disponga de seguro de cosecha, en los dos próximos años agrícolas disponibles, según determine el </w:t>
      </w:r>
      <w:proofErr w:type="gramStart"/>
      <w:r w:rsidRPr="00FA42D6">
        <w:rPr>
          <w:rFonts w:ascii="Times New Roman" w:hAnsi="Times New Roman"/>
          <w:sz w:val="22"/>
          <w:szCs w:val="22"/>
        </w:rPr>
        <w:t>Secretario</w:t>
      </w:r>
      <w:proofErr w:type="gramEnd"/>
      <w:r w:rsidRPr="00FA42D6">
        <w:rPr>
          <w:rFonts w:ascii="Times New Roman" w:hAnsi="Times New Roman"/>
          <w:sz w:val="22"/>
          <w:szCs w:val="22"/>
        </w:rPr>
        <w:t>. La cobertura adquirida debe ser del nivel 60/100 o superior para los cultivos asegurados o del nivel catastrófico o superior para los cultivos NAP.  </w:t>
      </w:r>
    </w:p>
    <w:p w14:paraId="497187D7"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  </w:t>
      </w:r>
    </w:p>
    <w:p w14:paraId="23750EEF"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b/>
          <w:sz w:val="22"/>
          <w:szCs w:val="22"/>
        </w:rPr>
        <w:t>Más información</w:t>
      </w:r>
      <w:r w:rsidRPr="00FA42D6">
        <w:rPr>
          <w:rFonts w:ascii="Times New Roman" w:hAnsi="Times New Roman"/>
          <w:sz w:val="22"/>
          <w:szCs w:val="22"/>
        </w:rPr>
        <w:t> </w:t>
      </w:r>
    </w:p>
    <w:p w14:paraId="5CCAB9C5"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b/>
          <w:sz w:val="22"/>
          <w:szCs w:val="22"/>
        </w:rPr>
        <w:t> </w:t>
      </w:r>
      <w:r w:rsidRPr="00FA42D6">
        <w:rPr>
          <w:rFonts w:ascii="Times New Roman" w:hAnsi="Times New Roman"/>
          <w:sz w:val="22"/>
          <w:szCs w:val="22"/>
        </w:rPr>
        <w:t> </w:t>
      </w:r>
    </w:p>
    <w:p w14:paraId="50CB4669" w14:textId="5B094E48" w:rsidR="00AD431C" w:rsidRPr="00FA42D6" w:rsidRDefault="00AD431C" w:rsidP="00AD431C">
      <w:pPr>
        <w:textAlignment w:val="baseline"/>
        <w:rPr>
          <w:rFonts w:ascii="Times New Roman" w:eastAsia="Calibri" w:hAnsi="Times New Roman" w:cs="Times New Roman"/>
          <w:sz w:val="22"/>
          <w:szCs w:val="22"/>
        </w:rPr>
      </w:pPr>
      <w:r w:rsidRPr="00FA42D6">
        <w:rPr>
          <w:rFonts w:ascii="Times New Roman" w:hAnsi="Times New Roman"/>
          <w:sz w:val="22"/>
          <w:szCs w:val="22"/>
        </w:rPr>
        <w:t xml:space="preserve">Los detalles de elegibilidad del ERP 2022 y las tablas de factores de cálculo de pagos están disponibles en el </w:t>
      </w:r>
      <w:hyperlink r:id="rId15">
        <w:r w:rsidRPr="00FA42D6">
          <w:rPr>
            <w:rStyle w:val="Hyperlink"/>
            <w:rFonts w:ascii="Times New Roman" w:hAnsi="Times New Roman"/>
            <w:sz w:val="22"/>
            <w:szCs w:val="22"/>
          </w:rPr>
          <w:t>sitio de internet de ayuda de emergencia</w:t>
        </w:r>
      </w:hyperlink>
      <w:r w:rsidRPr="00FA42D6">
        <w:rPr>
          <w:rFonts w:ascii="Times New Roman" w:hAnsi="Times New Roman"/>
          <w:sz w:val="22"/>
          <w:szCs w:val="22"/>
        </w:rPr>
        <w:t xml:space="preserve">, en las hojas informativas de ERP </w:t>
      </w:r>
      <w:proofErr w:type="spellStart"/>
      <w:r w:rsidRPr="00FA42D6">
        <w:rPr>
          <w:rFonts w:ascii="Times New Roman" w:hAnsi="Times New Roman"/>
          <w:sz w:val="22"/>
          <w:szCs w:val="22"/>
        </w:rPr>
        <w:t>Track</w:t>
      </w:r>
      <w:proofErr w:type="spellEnd"/>
      <w:r w:rsidRPr="00FA42D6">
        <w:rPr>
          <w:rFonts w:ascii="Times New Roman" w:hAnsi="Times New Roman"/>
          <w:sz w:val="22"/>
          <w:szCs w:val="22"/>
        </w:rPr>
        <w:t xml:space="preserve"> 1 y ERP </w:t>
      </w:r>
      <w:proofErr w:type="spellStart"/>
      <w:r w:rsidRPr="00FA42D6">
        <w:rPr>
          <w:rFonts w:ascii="Times New Roman" w:hAnsi="Times New Roman"/>
          <w:sz w:val="22"/>
          <w:szCs w:val="22"/>
        </w:rPr>
        <w:t>Track</w:t>
      </w:r>
      <w:proofErr w:type="spellEnd"/>
      <w:r w:rsidRPr="00FA42D6">
        <w:rPr>
          <w:rFonts w:ascii="Times New Roman" w:hAnsi="Times New Roman"/>
          <w:sz w:val="22"/>
          <w:szCs w:val="22"/>
        </w:rPr>
        <w:t xml:space="preserve"> 2 y a través de su </w:t>
      </w:r>
      <w:hyperlink r:id="rId16">
        <w:r w:rsidRPr="00FA42D6">
          <w:rPr>
            <w:rStyle w:val="Hyperlink"/>
            <w:rFonts w:ascii="Times New Roman" w:hAnsi="Times New Roman"/>
            <w:sz w:val="22"/>
            <w:szCs w:val="22"/>
          </w:rPr>
          <w:t>oficina de condado de la FSA</w:t>
        </w:r>
      </w:hyperlink>
      <w:r w:rsidR="009B065A">
        <w:rPr>
          <w:rStyle w:val="Hyperlink"/>
          <w:rFonts w:ascii="Times New Roman" w:hAnsi="Times New Roman"/>
          <w:sz w:val="22"/>
          <w:szCs w:val="22"/>
        </w:rPr>
        <w:t xml:space="preserve"> </w:t>
      </w:r>
      <w:r w:rsidRPr="00FA42D6">
        <w:rPr>
          <w:rFonts w:ascii="Times New Roman" w:hAnsi="Times New Roman"/>
          <w:sz w:val="22"/>
          <w:szCs w:val="22"/>
        </w:rPr>
        <w:t>local.</w:t>
      </w:r>
    </w:p>
    <w:p w14:paraId="6DE8F652" w14:textId="77777777" w:rsidR="00E30260" w:rsidRPr="00FA42D6" w:rsidRDefault="00E30260" w:rsidP="00AD431C">
      <w:pPr>
        <w:textAlignment w:val="baseline"/>
        <w:rPr>
          <w:rFonts w:ascii="Segoe UI" w:eastAsia="Calibri" w:hAnsi="Segoe UI" w:cs="Segoe UI"/>
          <w:sz w:val="22"/>
          <w:szCs w:val="22"/>
        </w:rPr>
      </w:pPr>
    </w:p>
    <w:p w14:paraId="2158FC45" w14:textId="30BEC6B4"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sz w:val="22"/>
          <w:szCs w:val="22"/>
        </w:rPr>
        <w:t xml:space="preserve">El USDA influye cada día en la vida de todos los estadounidenses de muchas maneras positivas. En la administración </w:t>
      </w:r>
      <w:proofErr w:type="spellStart"/>
      <w:r w:rsidRPr="00FA42D6">
        <w:rPr>
          <w:rFonts w:ascii="Times New Roman" w:hAnsi="Times New Roman"/>
          <w:sz w:val="22"/>
          <w:szCs w:val="22"/>
        </w:rPr>
        <w:t>Biden</w:t>
      </w:r>
      <w:proofErr w:type="spellEnd"/>
      <w:r w:rsidRPr="00FA42D6">
        <w:rPr>
          <w:rFonts w:ascii="Times New Roman" w:hAnsi="Times New Roman"/>
          <w:sz w:val="22"/>
          <w:szCs w:val="22"/>
        </w:rPr>
        <w:t xml:space="preserve">-Harris, el USDA está transformando el sistema alimentario de Estados Unidos centrándose más en una producción local y regional de alimentos más resistente, mercados más justos para todos los productores, garantizando el acceso a alimentos sanos y nutritivos en todas las comunidades, creando nuevos mercados y fuentes de ingresos para los agricultores y productores que utilizan prácticas alimentarias y forestales climáticamente inteligentes, realizando inversiones históricas en infraestructuras y capacidades de energía limpia en las zonas rurales de Estados Unidos, y comprometiéndose con la equidad en todo el Departamento mediante la eliminación de las barreras sistémicas y a través de la creación de una fuerza de trabajo más representativa de Estados Unidos. Para obtener más información, visite </w:t>
      </w:r>
      <w:hyperlink r:id="rId17" w:tgtFrame="_blank" w:history="1">
        <w:r w:rsidRPr="00FA42D6">
          <w:rPr>
            <w:rFonts w:ascii="Times New Roman" w:hAnsi="Times New Roman"/>
            <w:color w:val="0563C1"/>
            <w:sz w:val="22"/>
            <w:szCs w:val="22"/>
            <w:u w:val="single"/>
          </w:rPr>
          <w:t>usda.gov</w:t>
        </w:r>
      </w:hyperlink>
      <w:r w:rsidRPr="00FA42D6">
        <w:rPr>
          <w:rFonts w:ascii="Times New Roman" w:hAnsi="Times New Roman"/>
          <w:sz w:val="22"/>
          <w:szCs w:val="22"/>
        </w:rPr>
        <w:t>. </w:t>
      </w:r>
    </w:p>
    <w:p w14:paraId="6DD29989" w14:textId="77777777" w:rsidR="00AD431C" w:rsidRPr="00FA42D6" w:rsidRDefault="00AD431C" w:rsidP="00AD431C">
      <w:pPr>
        <w:textAlignment w:val="baseline"/>
        <w:rPr>
          <w:rFonts w:ascii="Segoe UI" w:eastAsia="Calibri" w:hAnsi="Segoe UI" w:cs="Segoe UI"/>
          <w:sz w:val="22"/>
          <w:szCs w:val="22"/>
        </w:rPr>
      </w:pPr>
      <w:r w:rsidRPr="00FA42D6">
        <w:rPr>
          <w:rFonts w:ascii="Times New Roman" w:hAnsi="Times New Roman"/>
          <w:color w:val="494440"/>
          <w:sz w:val="22"/>
          <w:szCs w:val="22"/>
        </w:rPr>
        <w:t>  </w:t>
      </w:r>
    </w:p>
    <w:p w14:paraId="43591EFF" w14:textId="77777777" w:rsidR="00AD431C" w:rsidRPr="00FA42D6" w:rsidRDefault="00AD431C" w:rsidP="00AD431C">
      <w:pPr>
        <w:jc w:val="center"/>
        <w:textAlignment w:val="baseline"/>
        <w:rPr>
          <w:rFonts w:ascii="Segoe UI" w:eastAsia="Calibri" w:hAnsi="Segoe UI" w:cs="Segoe UI"/>
          <w:sz w:val="22"/>
          <w:szCs w:val="22"/>
        </w:rPr>
      </w:pPr>
      <w:r w:rsidRPr="00FA42D6">
        <w:rPr>
          <w:rFonts w:ascii="Times New Roman" w:hAnsi="Times New Roman"/>
          <w:color w:val="494440"/>
          <w:sz w:val="22"/>
          <w:szCs w:val="22"/>
        </w:rPr>
        <w:t># </w:t>
      </w:r>
    </w:p>
    <w:p w14:paraId="4D06EAC9" w14:textId="77777777" w:rsidR="00AD431C" w:rsidRPr="00FA42D6" w:rsidRDefault="00AD431C" w:rsidP="00AD431C">
      <w:pPr>
        <w:jc w:val="center"/>
        <w:textAlignment w:val="baseline"/>
        <w:rPr>
          <w:rFonts w:ascii="Segoe UI" w:eastAsia="Calibri" w:hAnsi="Segoe UI" w:cs="Segoe UI"/>
          <w:sz w:val="22"/>
          <w:szCs w:val="22"/>
        </w:rPr>
      </w:pPr>
      <w:r w:rsidRPr="00FA42D6">
        <w:rPr>
          <w:rFonts w:ascii="Times New Roman" w:hAnsi="Times New Roman"/>
          <w:color w:val="494440"/>
          <w:sz w:val="22"/>
          <w:szCs w:val="22"/>
        </w:rPr>
        <w:t>  </w:t>
      </w:r>
    </w:p>
    <w:p w14:paraId="3CF75268" w14:textId="58389892" w:rsidR="00475DEC" w:rsidRPr="00FA42D6" w:rsidRDefault="00AD431C" w:rsidP="00FA42D6">
      <w:pPr>
        <w:jc w:val="center"/>
        <w:textAlignment w:val="baseline"/>
        <w:rPr>
          <w:rFonts w:ascii="Segoe UI" w:eastAsia="Calibri" w:hAnsi="Segoe UI" w:cs="Segoe UI"/>
          <w:sz w:val="22"/>
          <w:szCs w:val="22"/>
        </w:rPr>
      </w:pPr>
      <w:r w:rsidRPr="00FA42D6">
        <w:rPr>
          <w:rFonts w:ascii="Times New Roman" w:hAnsi="Times New Roman"/>
          <w:sz w:val="22"/>
          <w:szCs w:val="22"/>
        </w:rPr>
        <w:t>El USDA es un proveedor, empleador y prestamista que ofrece igualdad de oportunidades.</w:t>
      </w:r>
    </w:p>
    <w:sectPr w:rsidR="00475DEC" w:rsidRPr="00FA42D6">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9100" w14:textId="77777777" w:rsidR="00951065" w:rsidRDefault="00951065">
      <w:r>
        <w:separator/>
      </w:r>
    </w:p>
  </w:endnote>
  <w:endnote w:type="continuationSeparator" w:id="0">
    <w:p w14:paraId="1215A1E2" w14:textId="77777777" w:rsidR="00951065" w:rsidRDefault="00951065">
      <w:r>
        <w:continuationSeparator/>
      </w:r>
    </w:p>
  </w:endnote>
  <w:endnote w:type="continuationNotice" w:id="1">
    <w:p w14:paraId="3188519E" w14:textId="77777777" w:rsidR="00951065" w:rsidRDefault="00951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8B5E" w14:textId="29B73A64" w:rsidR="0093287F" w:rsidRDefault="0093287F">
    <w:pPr>
      <w:pStyle w:val="Footer"/>
    </w:pPr>
  </w:p>
  <w:p w14:paraId="4E3A74FB" w14:textId="0FDD32FA" w:rsidR="0093287F" w:rsidRDefault="00FA42D6">
    <w:pPr>
      <w:pStyle w:val="Footer"/>
    </w:pPr>
    <w:r>
      <w:rPr>
        <w:noProof/>
      </w:rPr>
      <mc:AlternateContent>
        <mc:Choice Requires="wps">
          <w:drawing>
            <wp:anchor distT="45720" distB="45720" distL="114300" distR="114300" simplePos="0" relativeHeight="251662336" behindDoc="0" locked="0" layoutInCell="1" allowOverlap="1" wp14:anchorId="33F964C8" wp14:editId="749B2B26">
              <wp:simplePos x="0" y="0"/>
              <wp:positionH relativeFrom="column">
                <wp:posOffset>5953760</wp:posOffset>
              </wp:positionH>
              <wp:positionV relativeFrom="paragraph">
                <wp:posOffset>206848</wp:posOffset>
              </wp:positionV>
              <wp:extent cx="1647825" cy="1404620"/>
              <wp:effectExtent l="0" t="0" r="9525" b="3175"/>
              <wp:wrapSquare wrapText="bothSides"/>
              <wp:docPr id="1092709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solidFill>
                        <a:srgbClr val="888178"/>
                      </a:solidFill>
                      <a:ln w="9525">
                        <a:noFill/>
                        <a:miter lim="800000"/>
                        <a:headEnd/>
                        <a:tailEnd/>
                      </a:ln>
                    </wps:spPr>
                    <wps:txbx>
                      <w:txbxContent>
                        <w:p w14:paraId="3DCCAB17" w14:textId="77777777" w:rsidR="00FA42D6" w:rsidRPr="0019159E" w:rsidRDefault="00FA42D6" w:rsidP="00FA42D6">
                          <w:pPr>
                            <w:rPr>
                              <w:color w:val="FFFFFF" w:themeColor="background1"/>
                              <w:sz w:val="26"/>
                              <w:szCs w:val="26"/>
                            </w:rPr>
                          </w:pPr>
                          <w:r w:rsidRPr="0019159E">
                            <w:rPr>
                              <w:color w:val="FFFFFF" w:themeColor="background1"/>
                              <w:sz w:val="26"/>
                              <w:szCs w:val="26"/>
                            </w:rPr>
                            <w:t>Centro de negocios</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F964C8" id="_x0000_t202" coordsize="21600,21600" o:spt="202" path="m,l,21600r21600,l21600,xe">
              <v:stroke joinstyle="miter"/>
              <v:path gradientshapeok="t" o:connecttype="rect"/>
            </v:shapetype>
            <v:shape id="_x0000_s1029" type="#_x0000_t202" style="position:absolute;margin-left:468.8pt;margin-top:16.3pt;width:129.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" fillcolor="#888178" stroked="f">
              <v:textbox style="mso-fit-shape-to-text:t" inset="0,,0">
                <w:txbxContent>
                  <w:p w14:paraId="3DCCAB17" w14:textId="77777777" w:rsidR="00FA42D6" w:rsidRPr="0019159E" w:rsidRDefault="00FA42D6" w:rsidP="00FA42D6">
                    <w:pPr>
                      <w:rPr>
                        <w:color w:val="FFFFFF" w:themeColor="background1"/>
                        <w:sz w:val="26"/>
                        <w:szCs w:val="26"/>
                      </w:rPr>
                    </w:pPr>
                    <w:r w:rsidRPr="0019159E">
                      <w:rPr>
                        <w:color w:val="FFFFFF" w:themeColor="background1"/>
                        <w:sz w:val="26"/>
                        <w:szCs w:val="26"/>
                      </w:rPr>
                      <w:t>Centro de negocios</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7A41724B" wp14:editId="7BDF1064">
              <wp:simplePos x="0" y="0"/>
              <wp:positionH relativeFrom="column">
                <wp:posOffset>-276063</wp:posOffset>
              </wp:positionH>
              <wp:positionV relativeFrom="paragraph">
                <wp:posOffset>249555</wp:posOffset>
              </wp:positionV>
              <wp:extent cx="2360930" cy="1404620"/>
              <wp:effectExtent l="0" t="0" r="0" b="6350"/>
              <wp:wrapSquare wrapText="bothSides"/>
              <wp:docPr id="1224037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888178"/>
                      </a:solidFill>
                      <a:ln w="9525">
                        <a:noFill/>
                        <a:miter lim="800000"/>
                        <a:headEnd/>
                        <a:tailEnd/>
                      </a:ln>
                    </wps:spPr>
                    <wps:txbx>
                      <w:txbxContent>
                        <w:p w14:paraId="5C1DDC55" w14:textId="77777777" w:rsidR="00FA42D6" w:rsidRPr="0019159E" w:rsidRDefault="00FA42D6" w:rsidP="00FA42D6">
                          <w:pPr>
                            <w:rPr>
                              <w:color w:val="FFFFFF" w:themeColor="background1"/>
                              <w:sz w:val="28"/>
                              <w:szCs w:val="28"/>
                            </w:rPr>
                          </w:pPr>
                          <w:r w:rsidRPr="0019159E">
                            <w:rPr>
                              <w:color w:val="FFFFFF" w:themeColor="background1"/>
                              <w:sz w:val="28"/>
                              <w:szCs w:val="28"/>
                            </w:rPr>
                            <w:t>Producción agrícola y conservación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41724B" id="_x0000_s1030" type="#_x0000_t202" style="position:absolute;margin-left:-21.75pt;margin-top:19.6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" fillcolor="#888178" stroked="f">
              <v:textbox style="mso-fit-shape-to-text:t">
                <w:txbxContent>
                  <w:p w14:paraId="5C1DDC55" w14:textId="77777777" w:rsidR="00FA42D6" w:rsidRPr="0019159E" w:rsidRDefault="00FA42D6" w:rsidP="00FA42D6">
                    <w:pPr>
                      <w:rPr>
                        <w:color w:val="FFFFFF" w:themeColor="background1"/>
                        <w:sz w:val="28"/>
                        <w:szCs w:val="28"/>
                      </w:rPr>
                    </w:pPr>
                    <w:r w:rsidRPr="0019159E">
                      <w:rPr>
                        <w:color w:val="FFFFFF" w:themeColor="background1"/>
                        <w:sz w:val="28"/>
                        <w:szCs w:val="28"/>
                      </w:rPr>
                      <w:t>Producción agrícola y conservación</w:t>
                    </w:r>
                  </w:p>
                </w:txbxContent>
              </v:textbox>
              <w10:wrap type="square"/>
            </v:shape>
          </w:pict>
        </mc:Fallback>
      </mc:AlternateContent>
    </w:r>
    <w:r w:rsidR="001C500A">
      <w:rPr>
        <w:noProof/>
        <w:color w:val="2B579A"/>
        <w:shd w:val="clear" w:color="auto" w:fill="E6E6E6"/>
      </w:rPr>
      <w:drawing>
        <wp:anchor distT="0" distB="0" distL="114300" distR="114300" simplePos="0" relativeHeight="251658240" behindDoc="1" locked="0" layoutInCell="1" allowOverlap="1" wp14:anchorId="05A27B50" wp14:editId="45616515">
          <wp:simplePos x="0" y="0"/>
          <wp:positionH relativeFrom="page">
            <wp:posOffset>0</wp:posOffset>
          </wp:positionH>
          <wp:positionV relativeFrom="page">
            <wp:align>bottom</wp:align>
          </wp:positionV>
          <wp:extent cx="7773029" cy="45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29" cy="457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DD7D" w14:textId="77777777" w:rsidR="00951065" w:rsidRDefault="00951065">
      <w:r>
        <w:separator/>
      </w:r>
    </w:p>
  </w:footnote>
  <w:footnote w:type="continuationSeparator" w:id="0">
    <w:p w14:paraId="4FCD8A35" w14:textId="77777777" w:rsidR="00951065" w:rsidRDefault="00951065">
      <w:r>
        <w:continuationSeparator/>
      </w:r>
    </w:p>
  </w:footnote>
  <w:footnote w:type="continuationNotice" w:id="1">
    <w:p w14:paraId="68C67810" w14:textId="77777777" w:rsidR="00951065" w:rsidRDefault="009510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5ED"/>
    <w:multiLevelType w:val="hybridMultilevel"/>
    <w:tmpl w:val="4DB82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A7429"/>
    <w:multiLevelType w:val="multilevel"/>
    <w:tmpl w:val="4B6AB2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8D16E35"/>
    <w:multiLevelType w:val="multilevel"/>
    <w:tmpl w:val="5374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D5422"/>
    <w:multiLevelType w:val="multilevel"/>
    <w:tmpl w:val="BDE6A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64D75"/>
    <w:multiLevelType w:val="multilevel"/>
    <w:tmpl w:val="B23E6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F15B2"/>
    <w:multiLevelType w:val="multilevel"/>
    <w:tmpl w:val="E8663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A5739"/>
    <w:multiLevelType w:val="multilevel"/>
    <w:tmpl w:val="EF78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B5EFF"/>
    <w:multiLevelType w:val="multilevel"/>
    <w:tmpl w:val="5BB22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665662"/>
    <w:multiLevelType w:val="multilevel"/>
    <w:tmpl w:val="60C86F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2F068D"/>
    <w:multiLevelType w:val="multilevel"/>
    <w:tmpl w:val="24BA3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525ACE"/>
    <w:multiLevelType w:val="multilevel"/>
    <w:tmpl w:val="AA60C7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48E2FF8"/>
    <w:multiLevelType w:val="hybridMultilevel"/>
    <w:tmpl w:val="F7E6F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46AD2"/>
    <w:multiLevelType w:val="multilevel"/>
    <w:tmpl w:val="A2E6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7001A2"/>
    <w:multiLevelType w:val="multilevel"/>
    <w:tmpl w:val="7F848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852256"/>
    <w:multiLevelType w:val="multilevel"/>
    <w:tmpl w:val="D752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BD14C2"/>
    <w:multiLevelType w:val="hybridMultilevel"/>
    <w:tmpl w:val="E202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21B21"/>
    <w:multiLevelType w:val="multilevel"/>
    <w:tmpl w:val="CE5C3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D469C4"/>
    <w:multiLevelType w:val="multilevel"/>
    <w:tmpl w:val="99D0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041CC7"/>
    <w:multiLevelType w:val="multilevel"/>
    <w:tmpl w:val="74880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1D4D71"/>
    <w:multiLevelType w:val="multilevel"/>
    <w:tmpl w:val="6D34F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48128545">
    <w:abstractNumId w:val="7"/>
  </w:num>
  <w:num w:numId="2" w16cid:durableId="492061952">
    <w:abstractNumId w:val="13"/>
  </w:num>
  <w:num w:numId="3" w16cid:durableId="730812352">
    <w:abstractNumId w:val="16"/>
  </w:num>
  <w:num w:numId="4" w16cid:durableId="1115323758">
    <w:abstractNumId w:val="11"/>
  </w:num>
  <w:num w:numId="5" w16cid:durableId="954094140">
    <w:abstractNumId w:val="17"/>
  </w:num>
  <w:num w:numId="6" w16cid:durableId="382412032">
    <w:abstractNumId w:val="10"/>
  </w:num>
  <w:num w:numId="7" w16cid:durableId="686911211">
    <w:abstractNumId w:val="1"/>
  </w:num>
  <w:num w:numId="8" w16cid:durableId="156844666">
    <w:abstractNumId w:val="14"/>
  </w:num>
  <w:num w:numId="9" w16cid:durableId="2001227968">
    <w:abstractNumId w:val="2"/>
  </w:num>
  <w:num w:numId="10" w16cid:durableId="405811326">
    <w:abstractNumId w:val="12"/>
  </w:num>
  <w:num w:numId="11" w16cid:durableId="755710646">
    <w:abstractNumId w:val="4"/>
  </w:num>
  <w:num w:numId="12" w16cid:durableId="136530990">
    <w:abstractNumId w:val="6"/>
  </w:num>
  <w:num w:numId="13" w16cid:durableId="584612521">
    <w:abstractNumId w:val="0"/>
  </w:num>
  <w:num w:numId="14" w16cid:durableId="2037195291">
    <w:abstractNumId w:val="15"/>
  </w:num>
  <w:num w:numId="15" w16cid:durableId="425612983">
    <w:abstractNumId w:val="18"/>
  </w:num>
  <w:num w:numId="16" w16cid:durableId="1821580791">
    <w:abstractNumId w:val="5"/>
  </w:num>
  <w:num w:numId="17" w16cid:durableId="2117555447">
    <w:abstractNumId w:val="19"/>
  </w:num>
  <w:num w:numId="18" w16cid:durableId="52047114">
    <w:abstractNumId w:val="8"/>
  </w:num>
  <w:num w:numId="19" w16cid:durableId="77987969">
    <w:abstractNumId w:val="9"/>
  </w:num>
  <w:num w:numId="20" w16cid:durableId="710804874">
    <w:abstractNumId w:val="3"/>
  </w:num>
  <w:num w:numId="21" w16cid:durableId="323045378">
    <w:abstractNumId w:val="18"/>
  </w:num>
  <w:num w:numId="22" w16cid:durableId="882792143">
    <w:abstractNumId w:val="5"/>
  </w:num>
  <w:num w:numId="23" w16cid:durableId="2125146837">
    <w:abstractNumId w:val="19"/>
  </w:num>
  <w:num w:numId="24" w16cid:durableId="1506900528">
    <w:abstractNumId w:val="8"/>
  </w:num>
  <w:num w:numId="25" w16cid:durableId="1270039881">
    <w:abstractNumId w:val="9"/>
  </w:num>
  <w:num w:numId="26" w16cid:durableId="1189879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D8"/>
    <w:rsid w:val="00005746"/>
    <w:rsid w:val="000B189A"/>
    <w:rsid w:val="000B68D7"/>
    <w:rsid w:val="00105831"/>
    <w:rsid w:val="00123DD6"/>
    <w:rsid w:val="00152E5F"/>
    <w:rsid w:val="001579FA"/>
    <w:rsid w:val="001A4006"/>
    <w:rsid w:val="001C500A"/>
    <w:rsid w:val="001F4404"/>
    <w:rsid w:val="00200EDF"/>
    <w:rsid w:val="00235C17"/>
    <w:rsid w:val="002526FC"/>
    <w:rsid w:val="0028213F"/>
    <w:rsid w:val="00297286"/>
    <w:rsid w:val="0029772E"/>
    <w:rsid w:val="003C6EDF"/>
    <w:rsid w:val="003F4E09"/>
    <w:rsid w:val="004254BB"/>
    <w:rsid w:val="00475DEC"/>
    <w:rsid w:val="00485672"/>
    <w:rsid w:val="004A7F8A"/>
    <w:rsid w:val="004C76FB"/>
    <w:rsid w:val="00505CD8"/>
    <w:rsid w:val="0052276E"/>
    <w:rsid w:val="00560BCB"/>
    <w:rsid w:val="005725AC"/>
    <w:rsid w:val="006805EA"/>
    <w:rsid w:val="006C6E91"/>
    <w:rsid w:val="00754C10"/>
    <w:rsid w:val="00754ED9"/>
    <w:rsid w:val="007C6337"/>
    <w:rsid w:val="007E0D4D"/>
    <w:rsid w:val="0086149E"/>
    <w:rsid w:val="008A36E7"/>
    <w:rsid w:val="008A6D29"/>
    <w:rsid w:val="008C288E"/>
    <w:rsid w:val="008D0CF6"/>
    <w:rsid w:val="00925DF1"/>
    <w:rsid w:val="0093287F"/>
    <w:rsid w:val="00951065"/>
    <w:rsid w:val="009678BD"/>
    <w:rsid w:val="00980086"/>
    <w:rsid w:val="0099618B"/>
    <w:rsid w:val="009B065A"/>
    <w:rsid w:val="009E3E13"/>
    <w:rsid w:val="00A01BE9"/>
    <w:rsid w:val="00A063FD"/>
    <w:rsid w:val="00A127C2"/>
    <w:rsid w:val="00A56612"/>
    <w:rsid w:val="00AD1D65"/>
    <w:rsid w:val="00AD431C"/>
    <w:rsid w:val="00B16DE0"/>
    <w:rsid w:val="00B17CAE"/>
    <w:rsid w:val="00B338D7"/>
    <w:rsid w:val="00BB02A7"/>
    <w:rsid w:val="00BD3900"/>
    <w:rsid w:val="00BD4141"/>
    <w:rsid w:val="00BD5B6C"/>
    <w:rsid w:val="00BE4F7B"/>
    <w:rsid w:val="00CC0CB0"/>
    <w:rsid w:val="00CC4497"/>
    <w:rsid w:val="00D831DC"/>
    <w:rsid w:val="00DE4FAA"/>
    <w:rsid w:val="00E1391A"/>
    <w:rsid w:val="00E15251"/>
    <w:rsid w:val="00E21874"/>
    <w:rsid w:val="00E30260"/>
    <w:rsid w:val="00E3613F"/>
    <w:rsid w:val="00E37E1E"/>
    <w:rsid w:val="00E44DC0"/>
    <w:rsid w:val="00E97A48"/>
    <w:rsid w:val="00EB1653"/>
    <w:rsid w:val="00EF2F48"/>
    <w:rsid w:val="00F860A9"/>
    <w:rsid w:val="00FA0470"/>
    <w:rsid w:val="00FA42D6"/>
    <w:rsid w:val="00FB16D8"/>
    <w:rsid w:val="00FC35A1"/>
    <w:rsid w:val="00FE05CA"/>
    <w:rsid w:val="00FE504D"/>
    <w:rsid w:val="00FF0A6D"/>
    <w:rsid w:val="05539582"/>
    <w:rsid w:val="063BB8D1"/>
    <w:rsid w:val="0F1F55EE"/>
    <w:rsid w:val="14012D7F"/>
    <w:rsid w:val="31FF7691"/>
    <w:rsid w:val="39A80A62"/>
    <w:rsid w:val="410159F8"/>
    <w:rsid w:val="4140C32F"/>
    <w:rsid w:val="4865E401"/>
    <w:rsid w:val="48D1D26C"/>
    <w:rsid w:val="564A15DB"/>
    <w:rsid w:val="591E6C1A"/>
    <w:rsid w:val="5C052D93"/>
    <w:rsid w:val="5C4EEBCD"/>
    <w:rsid w:val="626B48C7"/>
    <w:rsid w:val="666D8400"/>
    <w:rsid w:val="6E10B90E"/>
    <w:rsid w:val="6E75F9A7"/>
    <w:rsid w:val="6F969A27"/>
    <w:rsid w:val="70015A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35966"/>
  <w15:chartTrackingRefBased/>
  <w15:docId w15:val="{AD9728BC-36F8-41C8-90F5-A0385DDD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6D8"/>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FB16D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6D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FB16D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FB16D8"/>
    <w:rPr>
      <w:color w:val="0563C1" w:themeColor="hyperlink"/>
      <w:u w:val="single"/>
    </w:rPr>
  </w:style>
  <w:style w:type="paragraph" w:styleId="Header">
    <w:name w:val="header"/>
    <w:basedOn w:val="Normal"/>
    <w:link w:val="HeaderChar"/>
    <w:uiPriority w:val="99"/>
    <w:unhideWhenUsed/>
    <w:rsid w:val="00FB16D8"/>
    <w:pPr>
      <w:tabs>
        <w:tab w:val="center" w:pos="4680"/>
        <w:tab w:val="right" w:pos="9360"/>
      </w:tabs>
    </w:pPr>
  </w:style>
  <w:style w:type="character" w:customStyle="1" w:styleId="HeaderChar">
    <w:name w:val="Header Char"/>
    <w:basedOn w:val="DefaultParagraphFont"/>
    <w:link w:val="Header"/>
    <w:uiPriority w:val="99"/>
    <w:rsid w:val="00FB16D8"/>
    <w:rPr>
      <w:rFonts w:eastAsiaTheme="minorEastAsia"/>
      <w:sz w:val="24"/>
      <w:szCs w:val="24"/>
    </w:rPr>
  </w:style>
  <w:style w:type="paragraph" w:styleId="Footer">
    <w:name w:val="footer"/>
    <w:basedOn w:val="Normal"/>
    <w:link w:val="FooterChar"/>
    <w:uiPriority w:val="99"/>
    <w:unhideWhenUsed/>
    <w:rsid w:val="00FB16D8"/>
    <w:pPr>
      <w:tabs>
        <w:tab w:val="center" w:pos="4680"/>
        <w:tab w:val="right" w:pos="9360"/>
      </w:tabs>
    </w:pPr>
  </w:style>
  <w:style w:type="character" w:customStyle="1" w:styleId="FooterChar">
    <w:name w:val="Footer Char"/>
    <w:basedOn w:val="DefaultParagraphFont"/>
    <w:link w:val="Footer"/>
    <w:uiPriority w:val="99"/>
    <w:rsid w:val="00FB16D8"/>
    <w:rPr>
      <w:rFonts w:eastAsiaTheme="minorEastAsia"/>
      <w:sz w:val="24"/>
      <w:szCs w:val="24"/>
    </w:rPr>
  </w:style>
  <w:style w:type="character" w:styleId="Strong">
    <w:name w:val="Strong"/>
    <w:basedOn w:val="DefaultParagraphFont"/>
    <w:uiPriority w:val="22"/>
    <w:qFormat/>
    <w:rsid w:val="00FB16D8"/>
    <w:rPr>
      <w:b/>
      <w:bCs/>
    </w:rPr>
  </w:style>
  <w:style w:type="paragraph" w:customStyle="1" w:styleId="paragraph">
    <w:name w:val="paragraph"/>
    <w:basedOn w:val="Normal"/>
    <w:rsid w:val="00FB16D8"/>
    <w:pPr>
      <w:spacing w:before="100" w:beforeAutospacing="1" w:after="100" w:afterAutospacing="1"/>
    </w:pPr>
    <w:rPr>
      <w:rFonts w:ascii="Times New Roman" w:eastAsiaTheme="minorHAnsi" w:hAnsi="Times New Roman" w:cs="Times New Roman"/>
    </w:rPr>
  </w:style>
  <w:style w:type="character" w:customStyle="1" w:styleId="normaltextrun">
    <w:name w:val="normaltextrun"/>
    <w:basedOn w:val="DefaultParagraphFont"/>
    <w:rsid w:val="00FB16D8"/>
  </w:style>
  <w:style w:type="character" w:customStyle="1" w:styleId="eop">
    <w:name w:val="eop"/>
    <w:basedOn w:val="DefaultParagraphFont"/>
    <w:rsid w:val="00FB16D8"/>
  </w:style>
  <w:style w:type="character" w:customStyle="1" w:styleId="advancedproofingissue">
    <w:name w:val="advancedproofingissue"/>
    <w:basedOn w:val="DefaultParagraphFont"/>
    <w:rsid w:val="00FB16D8"/>
  </w:style>
  <w:style w:type="character" w:styleId="FollowedHyperlink">
    <w:name w:val="FollowedHyperlink"/>
    <w:basedOn w:val="DefaultParagraphFont"/>
    <w:uiPriority w:val="99"/>
    <w:semiHidden/>
    <w:unhideWhenUsed/>
    <w:rsid w:val="00FB16D8"/>
    <w:rPr>
      <w:color w:val="954F72" w:themeColor="followedHyperlink"/>
      <w:u w:val="single"/>
    </w:rPr>
  </w:style>
  <w:style w:type="character" w:styleId="UnresolvedMention">
    <w:name w:val="Unresolved Mention"/>
    <w:basedOn w:val="DefaultParagraphFont"/>
    <w:uiPriority w:val="99"/>
    <w:semiHidden/>
    <w:unhideWhenUsed/>
    <w:rsid w:val="00FB16D8"/>
    <w:rPr>
      <w:color w:val="605E5C"/>
      <w:shd w:val="clear" w:color="auto" w:fill="E1DFDD"/>
    </w:rPr>
  </w:style>
  <w:style w:type="character" w:customStyle="1" w:styleId="xxxxxnormaltextrun">
    <w:name w:val="x_xxxxnormaltextrun"/>
    <w:basedOn w:val="DefaultParagraphFont"/>
    <w:rsid w:val="00DE4FAA"/>
  </w:style>
  <w:style w:type="character" w:customStyle="1" w:styleId="xxxxxeop">
    <w:name w:val="x_xxxxeop"/>
    <w:basedOn w:val="DefaultParagraphFont"/>
    <w:rsid w:val="00DE4FAA"/>
  </w:style>
  <w:style w:type="character" w:styleId="CommentReference">
    <w:name w:val="annotation reference"/>
    <w:basedOn w:val="DefaultParagraphFont"/>
    <w:uiPriority w:val="99"/>
    <w:semiHidden/>
    <w:unhideWhenUsed/>
    <w:rsid w:val="00BE4F7B"/>
    <w:rPr>
      <w:sz w:val="16"/>
      <w:szCs w:val="16"/>
    </w:rPr>
  </w:style>
  <w:style w:type="paragraph" w:styleId="CommentText">
    <w:name w:val="annotation text"/>
    <w:basedOn w:val="Normal"/>
    <w:link w:val="CommentTextChar"/>
    <w:uiPriority w:val="99"/>
    <w:unhideWhenUsed/>
    <w:rsid w:val="00BE4F7B"/>
    <w:rPr>
      <w:sz w:val="20"/>
      <w:szCs w:val="20"/>
    </w:rPr>
  </w:style>
  <w:style w:type="character" w:customStyle="1" w:styleId="CommentTextChar">
    <w:name w:val="Comment Text Char"/>
    <w:basedOn w:val="DefaultParagraphFont"/>
    <w:link w:val="CommentText"/>
    <w:uiPriority w:val="99"/>
    <w:rsid w:val="00BE4F7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E4F7B"/>
    <w:rPr>
      <w:b/>
      <w:bCs/>
    </w:rPr>
  </w:style>
  <w:style w:type="character" w:customStyle="1" w:styleId="CommentSubjectChar">
    <w:name w:val="Comment Subject Char"/>
    <w:basedOn w:val="CommentTextChar"/>
    <w:link w:val="CommentSubject"/>
    <w:uiPriority w:val="99"/>
    <w:semiHidden/>
    <w:rsid w:val="00BE4F7B"/>
    <w:rPr>
      <w:rFonts w:eastAsiaTheme="minorEastAsia"/>
      <w:b/>
      <w:bCs/>
      <w:sz w:val="20"/>
      <w:szCs w:val="20"/>
    </w:rPr>
  </w:style>
  <w:style w:type="paragraph" w:styleId="Revision">
    <w:name w:val="Revision"/>
    <w:hidden/>
    <w:uiPriority w:val="99"/>
    <w:semiHidden/>
    <w:rsid w:val="00E37E1E"/>
    <w:pPr>
      <w:spacing w:after="0" w:line="240" w:lineRule="auto"/>
    </w:pPr>
    <w:rPr>
      <w:rFonts w:eastAsiaTheme="minorEastAsia"/>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3551">
      <w:bodyDiv w:val="1"/>
      <w:marLeft w:val="0"/>
      <w:marRight w:val="0"/>
      <w:marTop w:val="0"/>
      <w:marBottom w:val="0"/>
      <w:divBdr>
        <w:top w:val="none" w:sz="0" w:space="0" w:color="auto"/>
        <w:left w:val="none" w:sz="0" w:space="0" w:color="auto"/>
        <w:bottom w:val="none" w:sz="0" w:space="0" w:color="auto"/>
        <w:right w:val="none" w:sz="0" w:space="0" w:color="auto"/>
      </w:divBdr>
    </w:div>
    <w:div w:id="587153544">
      <w:bodyDiv w:val="1"/>
      <w:marLeft w:val="0"/>
      <w:marRight w:val="0"/>
      <w:marTop w:val="0"/>
      <w:marBottom w:val="0"/>
      <w:divBdr>
        <w:top w:val="none" w:sz="0" w:space="0" w:color="auto"/>
        <w:left w:val="none" w:sz="0" w:space="0" w:color="auto"/>
        <w:bottom w:val="none" w:sz="0" w:space="0" w:color="auto"/>
        <w:right w:val="none" w:sz="0" w:space="0" w:color="auto"/>
      </w:divBdr>
    </w:div>
    <w:div w:id="955067277">
      <w:bodyDiv w:val="1"/>
      <w:marLeft w:val="0"/>
      <w:marRight w:val="0"/>
      <w:marTop w:val="0"/>
      <w:marBottom w:val="0"/>
      <w:divBdr>
        <w:top w:val="none" w:sz="0" w:space="0" w:color="auto"/>
        <w:left w:val="none" w:sz="0" w:space="0" w:color="auto"/>
        <w:bottom w:val="none" w:sz="0" w:space="0" w:color="auto"/>
        <w:right w:val="none" w:sz="0" w:space="0" w:color="auto"/>
      </w:divBdr>
    </w:div>
    <w:div w:id="1050375714">
      <w:bodyDiv w:val="1"/>
      <w:marLeft w:val="0"/>
      <w:marRight w:val="0"/>
      <w:marTop w:val="0"/>
      <w:marBottom w:val="0"/>
      <w:divBdr>
        <w:top w:val="none" w:sz="0" w:space="0" w:color="auto"/>
        <w:left w:val="none" w:sz="0" w:space="0" w:color="auto"/>
        <w:bottom w:val="none" w:sz="0" w:space="0" w:color="auto"/>
        <w:right w:val="none" w:sz="0" w:space="0" w:color="auto"/>
      </w:divBdr>
      <w:divsChild>
        <w:div w:id="14616480">
          <w:marLeft w:val="0"/>
          <w:marRight w:val="0"/>
          <w:marTop w:val="0"/>
          <w:marBottom w:val="0"/>
          <w:divBdr>
            <w:top w:val="none" w:sz="0" w:space="0" w:color="auto"/>
            <w:left w:val="none" w:sz="0" w:space="0" w:color="auto"/>
            <w:bottom w:val="none" w:sz="0" w:space="0" w:color="auto"/>
            <w:right w:val="none" w:sz="0" w:space="0" w:color="auto"/>
          </w:divBdr>
        </w:div>
        <w:div w:id="265161247">
          <w:marLeft w:val="0"/>
          <w:marRight w:val="0"/>
          <w:marTop w:val="0"/>
          <w:marBottom w:val="0"/>
          <w:divBdr>
            <w:top w:val="none" w:sz="0" w:space="0" w:color="auto"/>
            <w:left w:val="none" w:sz="0" w:space="0" w:color="auto"/>
            <w:bottom w:val="none" w:sz="0" w:space="0" w:color="auto"/>
            <w:right w:val="none" w:sz="0" w:space="0" w:color="auto"/>
          </w:divBdr>
        </w:div>
        <w:div w:id="443623095">
          <w:marLeft w:val="0"/>
          <w:marRight w:val="0"/>
          <w:marTop w:val="0"/>
          <w:marBottom w:val="0"/>
          <w:divBdr>
            <w:top w:val="none" w:sz="0" w:space="0" w:color="auto"/>
            <w:left w:val="none" w:sz="0" w:space="0" w:color="auto"/>
            <w:bottom w:val="none" w:sz="0" w:space="0" w:color="auto"/>
            <w:right w:val="none" w:sz="0" w:space="0" w:color="auto"/>
          </w:divBdr>
          <w:divsChild>
            <w:div w:id="161313454">
              <w:marLeft w:val="0"/>
              <w:marRight w:val="0"/>
              <w:marTop w:val="0"/>
              <w:marBottom w:val="0"/>
              <w:divBdr>
                <w:top w:val="none" w:sz="0" w:space="0" w:color="auto"/>
                <w:left w:val="none" w:sz="0" w:space="0" w:color="auto"/>
                <w:bottom w:val="none" w:sz="0" w:space="0" w:color="auto"/>
                <w:right w:val="none" w:sz="0" w:space="0" w:color="auto"/>
              </w:divBdr>
            </w:div>
            <w:div w:id="520170726">
              <w:marLeft w:val="0"/>
              <w:marRight w:val="0"/>
              <w:marTop w:val="0"/>
              <w:marBottom w:val="0"/>
              <w:divBdr>
                <w:top w:val="none" w:sz="0" w:space="0" w:color="auto"/>
                <w:left w:val="none" w:sz="0" w:space="0" w:color="auto"/>
                <w:bottom w:val="none" w:sz="0" w:space="0" w:color="auto"/>
                <w:right w:val="none" w:sz="0" w:space="0" w:color="auto"/>
              </w:divBdr>
            </w:div>
            <w:div w:id="983463820">
              <w:marLeft w:val="0"/>
              <w:marRight w:val="0"/>
              <w:marTop w:val="0"/>
              <w:marBottom w:val="0"/>
              <w:divBdr>
                <w:top w:val="none" w:sz="0" w:space="0" w:color="auto"/>
                <w:left w:val="none" w:sz="0" w:space="0" w:color="auto"/>
                <w:bottom w:val="none" w:sz="0" w:space="0" w:color="auto"/>
                <w:right w:val="none" w:sz="0" w:space="0" w:color="auto"/>
              </w:divBdr>
            </w:div>
            <w:div w:id="1253851838">
              <w:marLeft w:val="0"/>
              <w:marRight w:val="0"/>
              <w:marTop w:val="0"/>
              <w:marBottom w:val="0"/>
              <w:divBdr>
                <w:top w:val="none" w:sz="0" w:space="0" w:color="auto"/>
                <w:left w:val="none" w:sz="0" w:space="0" w:color="auto"/>
                <w:bottom w:val="none" w:sz="0" w:space="0" w:color="auto"/>
                <w:right w:val="none" w:sz="0" w:space="0" w:color="auto"/>
              </w:divBdr>
            </w:div>
          </w:divsChild>
        </w:div>
        <w:div w:id="466975092">
          <w:marLeft w:val="0"/>
          <w:marRight w:val="0"/>
          <w:marTop w:val="0"/>
          <w:marBottom w:val="0"/>
          <w:divBdr>
            <w:top w:val="none" w:sz="0" w:space="0" w:color="auto"/>
            <w:left w:val="none" w:sz="0" w:space="0" w:color="auto"/>
            <w:bottom w:val="none" w:sz="0" w:space="0" w:color="auto"/>
            <w:right w:val="none" w:sz="0" w:space="0" w:color="auto"/>
          </w:divBdr>
        </w:div>
        <w:div w:id="525561931">
          <w:marLeft w:val="0"/>
          <w:marRight w:val="0"/>
          <w:marTop w:val="0"/>
          <w:marBottom w:val="0"/>
          <w:divBdr>
            <w:top w:val="none" w:sz="0" w:space="0" w:color="auto"/>
            <w:left w:val="none" w:sz="0" w:space="0" w:color="auto"/>
            <w:bottom w:val="none" w:sz="0" w:space="0" w:color="auto"/>
            <w:right w:val="none" w:sz="0" w:space="0" w:color="auto"/>
          </w:divBdr>
          <w:divsChild>
            <w:div w:id="44452401">
              <w:marLeft w:val="0"/>
              <w:marRight w:val="0"/>
              <w:marTop w:val="0"/>
              <w:marBottom w:val="0"/>
              <w:divBdr>
                <w:top w:val="none" w:sz="0" w:space="0" w:color="auto"/>
                <w:left w:val="none" w:sz="0" w:space="0" w:color="auto"/>
                <w:bottom w:val="none" w:sz="0" w:space="0" w:color="auto"/>
                <w:right w:val="none" w:sz="0" w:space="0" w:color="auto"/>
              </w:divBdr>
            </w:div>
            <w:div w:id="875315099">
              <w:marLeft w:val="0"/>
              <w:marRight w:val="0"/>
              <w:marTop w:val="0"/>
              <w:marBottom w:val="0"/>
              <w:divBdr>
                <w:top w:val="none" w:sz="0" w:space="0" w:color="auto"/>
                <w:left w:val="none" w:sz="0" w:space="0" w:color="auto"/>
                <w:bottom w:val="none" w:sz="0" w:space="0" w:color="auto"/>
                <w:right w:val="none" w:sz="0" w:space="0" w:color="auto"/>
              </w:divBdr>
            </w:div>
            <w:div w:id="1403258264">
              <w:marLeft w:val="0"/>
              <w:marRight w:val="0"/>
              <w:marTop w:val="0"/>
              <w:marBottom w:val="0"/>
              <w:divBdr>
                <w:top w:val="none" w:sz="0" w:space="0" w:color="auto"/>
                <w:left w:val="none" w:sz="0" w:space="0" w:color="auto"/>
                <w:bottom w:val="none" w:sz="0" w:space="0" w:color="auto"/>
                <w:right w:val="none" w:sz="0" w:space="0" w:color="auto"/>
              </w:divBdr>
            </w:div>
            <w:div w:id="1516187314">
              <w:marLeft w:val="0"/>
              <w:marRight w:val="0"/>
              <w:marTop w:val="0"/>
              <w:marBottom w:val="0"/>
              <w:divBdr>
                <w:top w:val="none" w:sz="0" w:space="0" w:color="auto"/>
                <w:left w:val="none" w:sz="0" w:space="0" w:color="auto"/>
                <w:bottom w:val="none" w:sz="0" w:space="0" w:color="auto"/>
                <w:right w:val="none" w:sz="0" w:space="0" w:color="auto"/>
              </w:divBdr>
            </w:div>
          </w:divsChild>
        </w:div>
        <w:div w:id="637952349">
          <w:marLeft w:val="0"/>
          <w:marRight w:val="0"/>
          <w:marTop w:val="0"/>
          <w:marBottom w:val="0"/>
          <w:divBdr>
            <w:top w:val="none" w:sz="0" w:space="0" w:color="auto"/>
            <w:left w:val="none" w:sz="0" w:space="0" w:color="auto"/>
            <w:bottom w:val="none" w:sz="0" w:space="0" w:color="auto"/>
            <w:right w:val="none" w:sz="0" w:space="0" w:color="auto"/>
          </w:divBdr>
        </w:div>
        <w:div w:id="1199976010">
          <w:marLeft w:val="0"/>
          <w:marRight w:val="0"/>
          <w:marTop w:val="0"/>
          <w:marBottom w:val="0"/>
          <w:divBdr>
            <w:top w:val="none" w:sz="0" w:space="0" w:color="auto"/>
            <w:left w:val="none" w:sz="0" w:space="0" w:color="auto"/>
            <w:bottom w:val="none" w:sz="0" w:space="0" w:color="auto"/>
            <w:right w:val="none" w:sz="0" w:space="0" w:color="auto"/>
          </w:divBdr>
        </w:div>
        <w:div w:id="1233659821">
          <w:marLeft w:val="0"/>
          <w:marRight w:val="0"/>
          <w:marTop w:val="0"/>
          <w:marBottom w:val="0"/>
          <w:divBdr>
            <w:top w:val="none" w:sz="0" w:space="0" w:color="auto"/>
            <w:left w:val="none" w:sz="0" w:space="0" w:color="auto"/>
            <w:bottom w:val="none" w:sz="0" w:space="0" w:color="auto"/>
            <w:right w:val="none" w:sz="0" w:space="0" w:color="auto"/>
          </w:divBdr>
        </w:div>
        <w:div w:id="1267692037">
          <w:marLeft w:val="0"/>
          <w:marRight w:val="0"/>
          <w:marTop w:val="0"/>
          <w:marBottom w:val="0"/>
          <w:divBdr>
            <w:top w:val="none" w:sz="0" w:space="0" w:color="auto"/>
            <w:left w:val="none" w:sz="0" w:space="0" w:color="auto"/>
            <w:bottom w:val="none" w:sz="0" w:space="0" w:color="auto"/>
            <w:right w:val="none" w:sz="0" w:space="0" w:color="auto"/>
          </w:divBdr>
        </w:div>
        <w:div w:id="1450009553">
          <w:marLeft w:val="0"/>
          <w:marRight w:val="0"/>
          <w:marTop w:val="0"/>
          <w:marBottom w:val="0"/>
          <w:divBdr>
            <w:top w:val="none" w:sz="0" w:space="0" w:color="auto"/>
            <w:left w:val="none" w:sz="0" w:space="0" w:color="auto"/>
            <w:bottom w:val="none" w:sz="0" w:space="0" w:color="auto"/>
            <w:right w:val="none" w:sz="0" w:space="0" w:color="auto"/>
          </w:divBdr>
        </w:div>
        <w:div w:id="1852452455">
          <w:marLeft w:val="0"/>
          <w:marRight w:val="0"/>
          <w:marTop w:val="0"/>
          <w:marBottom w:val="0"/>
          <w:divBdr>
            <w:top w:val="none" w:sz="0" w:space="0" w:color="auto"/>
            <w:left w:val="none" w:sz="0" w:space="0" w:color="auto"/>
            <w:bottom w:val="none" w:sz="0" w:space="0" w:color="auto"/>
            <w:right w:val="none" w:sz="0" w:space="0" w:color="auto"/>
          </w:divBdr>
        </w:div>
        <w:div w:id="1991325006">
          <w:marLeft w:val="0"/>
          <w:marRight w:val="0"/>
          <w:marTop w:val="0"/>
          <w:marBottom w:val="0"/>
          <w:divBdr>
            <w:top w:val="none" w:sz="0" w:space="0" w:color="auto"/>
            <w:left w:val="none" w:sz="0" w:space="0" w:color="auto"/>
            <w:bottom w:val="none" w:sz="0" w:space="0" w:color="auto"/>
            <w:right w:val="none" w:sz="0" w:space="0" w:color="auto"/>
          </w:divBdr>
        </w:div>
        <w:div w:id="2009869302">
          <w:marLeft w:val="0"/>
          <w:marRight w:val="0"/>
          <w:marTop w:val="0"/>
          <w:marBottom w:val="0"/>
          <w:divBdr>
            <w:top w:val="none" w:sz="0" w:space="0" w:color="auto"/>
            <w:left w:val="none" w:sz="0" w:space="0" w:color="auto"/>
            <w:bottom w:val="none" w:sz="0" w:space="0" w:color="auto"/>
            <w:right w:val="none" w:sz="0" w:space="0" w:color="auto"/>
          </w:divBdr>
          <w:divsChild>
            <w:div w:id="15968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309">
      <w:bodyDiv w:val="1"/>
      <w:marLeft w:val="0"/>
      <w:marRight w:val="0"/>
      <w:marTop w:val="0"/>
      <w:marBottom w:val="0"/>
      <w:divBdr>
        <w:top w:val="none" w:sz="0" w:space="0" w:color="auto"/>
        <w:left w:val="none" w:sz="0" w:space="0" w:color="auto"/>
        <w:bottom w:val="none" w:sz="0" w:space="0" w:color="auto"/>
        <w:right w:val="none" w:sz="0" w:space="0" w:color="auto"/>
      </w:divBdr>
    </w:div>
    <w:div w:id="1219516397">
      <w:bodyDiv w:val="1"/>
      <w:marLeft w:val="0"/>
      <w:marRight w:val="0"/>
      <w:marTop w:val="0"/>
      <w:marBottom w:val="0"/>
      <w:divBdr>
        <w:top w:val="none" w:sz="0" w:space="0" w:color="auto"/>
        <w:left w:val="none" w:sz="0" w:space="0" w:color="auto"/>
        <w:bottom w:val="none" w:sz="0" w:space="0" w:color="auto"/>
        <w:right w:val="none" w:sz="0" w:space="0" w:color="auto"/>
      </w:divBdr>
    </w:div>
    <w:div w:id="1290671217">
      <w:bodyDiv w:val="1"/>
      <w:marLeft w:val="0"/>
      <w:marRight w:val="0"/>
      <w:marTop w:val="0"/>
      <w:marBottom w:val="0"/>
      <w:divBdr>
        <w:top w:val="none" w:sz="0" w:space="0" w:color="auto"/>
        <w:left w:val="none" w:sz="0" w:space="0" w:color="auto"/>
        <w:bottom w:val="none" w:sz="0" w:space="0" w:color="auto"/>
        <w:right w:val="none" w:sz="0" w:space="0" w:color="auto"/>
      </w:divBdr>
    </w:div>
    <w:div w:id="1475028201">
      <w:bodyDiv w:val="1"/>
      <w:marLeft w:val="0"/>
      <w:marRight w:val="0"/>
      <w:marTop w:val="0"/>
      <w:marBottom w:val="0"/>
      <w:divBdr>
        <w:top w:val="none" w:sz="0" w:space="0" w:color="auto"/>
        <w:left w:val="none" w:sz="0" w:space="0" w:color="auto"/>
        <w:bottom w:val="none" w:sz="0" w:space="0" w:color="auto"/>
        <w:right w:val="none" w:sz="0" w:space="0" w:color="auto"/>
      </w:divBdr>
    </w:div>
    <w:div w:id="202671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sa.usda.gov/programs-and-services/emergency-relief/inde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rreo%20electr&#243;nico:%20FPAC.BC.Press@usda.gov" TargetMode="External"/><Relationship Id="rId17" Type="http://schemas.openxmlformats.org/officeDocument/2006/relationships/hyperlink" Target="https://www.usda.gov/" TargetMode="External"/><Relationship Id="rId2" Type="http://schemas.openxmlformats.org/officeDocument/2006/relationships/customXml" Target="../customXml/item2.xml"/><Relationship Id="rId16" Type="http://schemas.openxmlformats.org/officeDocument/2006/relationships/hyperlink" Target="https://www.farmers.gov/working-with-us/service-center-locat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rreo%20electr&#243;nico:%20FPAC.BC.Press@usda.gov" TargetMode="External"/><Relationship Id="rId5" Type="http://schemas.openxmlformats.org/officeDocument/2006/relationships/styles" Target="styles.xml"/><Relationship Id="rId15" Type="http://schemas.openxmlformats.org/officeDocument/2006/relationships/hyperlink" Target="https://www.fsa.usda.gov/programs-and-services/emergency-relief/index"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sa.usda.gov/programs-and-services/emergency-relief/inde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27f822-782c-4ce3-bc28-93e924b1ac54">
      <Terms xmlns="http://schemas.microsoft.com/office/infopath/2007/PartnerControls"/>
    </lcf76f155ced4ddcb4097134ff3c332f>
    <TaxCatchAll xmlns="73fb875a-8af9-4255-b008-0995492d31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1D9C7573517B41B6A05DB10503BCE0" ma:contentTypeVersion="15" ma:contentTypeDescription="Create a new document." ma:contentTypeScope="" ma:versionID="fbe4c554a653ac34a0b6b9e6a6afc612">
  <xsd:schema xmlns:xsd="http://www.w3.org/2001/XMLSchema" xmlns:xs="http://www.w3.org/2001/XMLSchema" xmlns:p="http://schemas.microsoft.com/office/2006/metadata/properties" xmlns:ns2="6727f822-782c-4ce3-bc28-93e924b1ac54" xmlns:ns3="35c78327-8529-4d2c-ab16-23ec4d6e6204" xmlns:ns4="73fb875a-8af9-4255-b008-0995492d31cd" targetNamespace="http://schemas.microsoft.com/office/2006/metadata/properties" ma:root="true" ma:fieldsID="aa79f45aa8177469e8686072519edf73" ns2:_="" ns3:_="" ns4:_="">
    <xsd:import namespace="6727f822-782c-4ce3-bc28-93e924b1ac54"/>
    <xsd:import namespace="35c78327-8529-4d2c-ab16-23ec4d6e6204"/>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7f822-782c-4ce3-bc28-93e924b1a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c78327-8529-4d2c-ab16-23ec4d6e62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5ff015a-9bad-4c9c-a158-3f1638749fe2}" ma:internalName="TaxCatchAll" ma:showField="CatchAllData" ma:web="35c78327-8529-4d2c-ab16-23ec4d6e6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ABDE5-EF07-4F32-9818-84B73A1A2F33}">
  <ds:schemaRefs>
    <ds:schemaRef ds:uri="http://schemas.microsoft.com/sharepoint/v3/contenttype/forms"/>
  </ds:schemaRefs>
</ds:datastoreItem>
</file>

<file path=customXml/itemProps2.xml><?xml version="1.0" encoding="utf-8"?>
<ds:datastoreItem xmlns:ds="http://schemas.openxmlformats.org/officeDocument/2006/customXml" ds:itemID="{85ED4261-A339-4FC0-9173-BDDE13D2E061}">
  <ds:schemaRefs>
    <ds:schemaRef ds:uri="http://schemas.microsoft.com/office/2006/metadata/properties"/>
    <ds:schemaRef ds:uri="http://schemas.microsoft.com/office/infopath/2007/PartnerControls"/>
    <ds:schemaRef ds:uri="6727f822-782c-4ce3-bc28-93e924b1ac54"/>
    <ds:schemaRef ds:uri="73fb875a-8af9-4255-b008-0995492d31cd"/>
  </ds:schemaRefs>
</ds:datastoreItem>
</file>

<file path=customXml/itemProps3.xml><?xml version="1.0" encoding="utf-8"?>
<ds:datastoreItem xmlns:ds="http://schemas.openxmlformats.org/officeDocument/2006/customXml" ds:itemID="{5B5807E9-2C45-4229-8611-845FD3EF2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7f822-782c-4ce3-bc28-93e924b1ac54"/>
    <ds:schemaRef ds:uri="35c78327-8529-4d2c-ab16-23ec4d6e6204"/>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1657</Words>
  <Characters>9447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Links>
    <vt:vector size="48" baseType="variant">
      <vt:variant>
        <vt:i4>4915216</vt:i4>
      </vt:variant>
      <vt:variant>
        <vt:i4>15</vt:i4>
      </vt:variant>
      <vt:variant>
        <vt:i4>0</vt:i4>
      </vt:variant>
      <vt:variant>
        <vt:i4>5</vt:i4>
      </vt:variant>
      <vt:variant>
        <vt:lpwstr>https://www.usda.gov/</vt:lpwstr>
      </vt:variant>
      <vt:variant>
        <vt:lpwstr/>
      </vt:variant>
      <vt:variant>
        <vt:i4>7536684</vt:i4>
      </vt:variant>
      <vt:variant>
        <vt:i4>12</vt:i4>
      </vt:variant>
      <vt:variant>
        <vt:i4>0</vt:i4>
      </vt:variant>
      <vt:variant>
        <vt:i4>5</vt:i4>
      </vt:variant>
      <vt:variant>
        <vt:lpwstr>https://www.farmers.gov/working-with-us/service-center-locator</vt:lpwstr>
      </vt:variant>
      <vt:variant>
        <vt:lpwstr/>
      </vt:variant>
      <vt:variant>
        <vt:i4>5505099</vt:i4>
      </vt:variant>
      <vt:variant>
        <vt:i4>9</vt:i4>
      </vt:variant>
      <vt:variant>
        <vt:i4>0</vt:i4>
      </vt:variant>
      <vt:variant>
        <vt:i4>5</vt:i4>
      </vt:variant>
      <vt:variant>
        <vt:lpwstr>https://www.fsa.usda.gov/programs-and-services/emergency-relief/index</vt:lpwstr>
      </vt:variant>
      <vt:variant>
        <vt:lpwstr/>
      </vt:variant>
      <vt:variant>
        <vt:i4>5505099</vt:i4>
      </vt:variant>
      <vt:variant>
        <vt:i4>6</vt:i4>
      </vt:variant>
      <vt:variant>
        <vt:i4>0</vt:i4>
      </vt:variant>
      <vt:variant>
        <vt:i4>5</vt:i4>
      </vt:variant>
      <vt:variant>
        <vt:lpwstr>https://www.fsa.usda.gov/programs-and-services/emergency-relief/index</vt:lpwstr>
      </vt:variant>
      <vt:variant>
        <vt:lpwstr/>
      </vt:variant>
      <vt:variant>
        <vt:i4>5505099</vt:i4>
      </vt:variant>
      <vt:variant>
        <vt:i4>3</vt:i4>
      </vt:variant>
      <vt:variant>
        <vt:i4>0</vt:i4>
      </vt:variant>
      <vt:variant>
        <vt:i4>5</vt:i4>
      </vt:variant>
      <vt:variant>
        <vt:lpwstr>https://www.fsa.usda.gov/programs-and-services/emergency-relief/index</vt:lpwstr>
      </vt:variant>
      <vt:variant>
        <vt:lpwstr/>
      </vt:variant>
      <vt:variant>
        <vt:i4>5505099</vt:i4>
      </vt:variant>
      <vt:variant>
        <vt:i4>0</vt:i4>
      </vt:variant>
      <vt:variant>
        <vt:i4>0</vt:i4>
      </vt:variant>
      <vt:variant>
        <vt:i4>5</vt:i4>
      </vt:variant>
      <vt:variant>
        <vt:lpwstr>https://www.fsa.usda.gov/programs-and-services/emergency-relief/index</vt:lpwstr>
      </vt:variant>
      <vt:variant>
        <vt:lpwstr/>
      </vt:variant>
      <vt:variant>
        <vt:i4>917611</vt:i4>
      </vt:variant>
      <vt:variant>
        <vt:i4>0</vt:i4>
      </vt:variant>
      <vt:variant>
        <vt:i4>0</vt:i4>
      </vt:variant>
      <vt:variant>
        <vt:i4>5</vt:i4>
      </vt:variant>
      <vt:variant>
        <vt:lpwstr>mailto:brenda.carlson@usda.gov</vt:lpwstr>
      </vt:variant>
      <vt:variant>
        <vt:lpwstr/>
      </vt:variant>
      <vt:variant>
        <vt:i4>1966113</vt:i4>
      </vt:variant>
      <vt:variant>
        <vt:i4>0</vt:i4>
      </vt:variant>
      <vt:variant>
        <vt:i4>0</vt:i4>
      </vt:variant>
      <vt:variant>
        <vt:i4>5</vt:i4>
      </vt:variant>
      <vt:variant>
        <vt:lpwstr>mailto:FPAC.BC.Press@usda.gov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Ciji - FPAC-FBC, DC</dc:creator>
  <cp:keywords/>
  <dc:description/>
  <cp:lastModifiedBy>Gerstner, Nicole - FPAC-FSA, ID</cp:lastModifiedBy>
  <cp:revision>2</cp:revision>
  <dcterms:created xsi:type="dcterms:W3CDTF">2023-11-06T20:03:00Z</dcterms:created>
  <dcterms:modified xsi:type="dcterms:W3CDTF">2023-11-06T20:03:00Z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0x010100521D9C7573517B41B6A05DB10503BCE0</vt:lpwstr>
  </property>
  <property fmtid="{D5CDD505-2E9C-101B-9397-08002B2CF9AE}" pid="3" name="MediaServiceImageTags">
    <vt:lpwstr/>
  </property>
</Properties>
</file>